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9D72" w14:textId="77777777" w:rsidR="00EA5CA0" w:rsidRDefault="00EA5CA0" w:rsidP="00EA5CA0">
      <w:pPr>
        <w:spacing w:before="120"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16BA5A4C" wp14:editId="0626CE2F">
            <wp:extent cx="9072245" cy="1971675"/>
            <wp:effectExtent l="0" t="0" r="0" b="9525"/>
            <wp:docPr id="14" name="Picture 1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7073E" w14:textId="77777777" w:rsidR="00EA5CA0" w:rsidRDefault="00EA5CA0" w:rsidP="00EA5CA0">
      <w:pPr>
        <w:pStyle w:val="Caption"/>
        <w:rPr>
          <w:rFonts w:cs="Times New Roman"/>
          <w:szCs w:val="24"/>
        </w:rPr>
      </w:pPr>
      <w:r w:rsidRPr="00B613B8">
        <w:rPr>
          <w:b w:val="0"/>
          <w:bCs/>
        </w:rPr>
        <w:t>Sensorgrams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>the Phd</w:t>
      </w:r>
      <w:r w:rsidRPr="00C31D45">
        <w:rPr>
          <w:b w:val="0"/>
          <w:bCs/>
          <w:vertAlign w:val="subscript"/>
        </w:rPr>
        <w:t>STm</w:t>
      </w:r>
      <w:r w:rsidRPr="00C31D45">
        <w:rPr>
          <w:b w:val="0"/>
          <w:bCs/>
          <w:vertAlign w:val="superscript"/>
        </w:rPr>
        <w:t>1-7</w:t>
      </w:r>
      <w:r>
        <w:rPr>
          <w:b w:val="0"/>
          <w:bCs/>
          <w:vertAlign w:val="superscript"/>
        </w:rPr>
        <w:t>3</w:t>
      </w:r>
      <w:r>
        <w:rPr>
          <w:b w:val="0"/>
          <w:bCs/>
        </w:rPr>
        <w:t xml:space="preserve"> protein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9709D6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</w:rPr>
        <w:t xml:space="preserve"> (ligand)</w:t>
      </w:r>
      <w:r w:rsidRPr="009709D6">
        <w:rPr>
          <w:b w:val="0"/>
          <w:bCs/>
        </w:rPr>
        <w:t xml:space="preserve">. </w:t>
      </w:r>
      <w:r>
        <w:rPr>
          <w:b w:val="0"/>
          <w:bCs/>
        </w:rPr>
        <w:t>Due to struggles to fit the slow kinetic rate constants via single-cycle experiments, e</w:t>
      </w:r>
      <w:r w:rsidRPr="00FA64A4">
        <w:rPr>
          <w:b w:val="0"/>
          <w:bCs/>
        </w:rPr>
        <w:t>ight concentrations of the analyte were flown over the surface in multiple individual cycles</w:t>
      </w:r>
      <w:r>
        <w:rPr>
          <w:b w:val="0"/>
          <w:bCs/>
        </w:rPr>
        <w:t xml:space="preserve"> to obtain more datapoints on the dissociation phase. Analyte concentrations ranged</w:t>
      </w:r>
      <w:r w:rsidRPr="00FA64A4">
        <w:rPr>
          <w:b w:val="0"/>
          <w:bCs/>
        </w:rPr>
        <w:t xml:space="preserve"> from 25 nM to 0.390625 nM (2-fold dilutions)</w:t>
      </w:r>
      <w:r>
        <w:rPr>
          <w:b w:val="0"/>
          <w:bCs/>
        </w:rPr>
        <w:t xml:space="preserve"> and t</w:t>
      </w:r>
      <w:r w:rsidRPr="00FA64A4">
        <w:rPr>
          <w:b w:val="0"/>
          <w:bCs/>
        </w:rPr>
        <w:t xml:space="preserve">he association and dissociation times were 200 s and 1500 s, respectively. The surface was regenerated between each cycle </w:t>
      </w:r>
      <w:r>
        <w:rPr>
          <w:b w:val="0"/>
          <w:bCs/>
        </w:rPr>
        <w:t>and the</w:t>
      </w:r>
      <w:r w:rsidRPr="00FA64A4">
        <w:rPr>
          <w:b w:val="0"/>
          <w:bCs/>
        </w:rPr>
        <w:t xml:space="preserve"> </w:t>
      </w:r>
      <w:r>
        <w:rPr>
          <w:b w:val="0"/>
          <w:bCs/>
        </w:rPr>
        <w:t>ligand density on the surface varied between replicates (lowest and highest densities correspond to replicates 1 and 3, respectively) to verify the reproducibility of the results.</w:t>
      </w:r>
      <w:r w:rsidRPr="00FA64A4">
        <w:rPr>
          <w:b w:val="0"/>
          <w:bCs/>
        </w:rPr>
        <w:t xml:space="preserve"> Due to the slow association</w:t>
      </w:r>
      <w:r>
        <w:rPr>
          <w:b w:val="0"/>
          <w:bCs/>
        </w:rPr>
        <w:t xml:space="preserve"> rate and mass-transport limitation at higher analyte concentrations, the data was fitted with a constant R</w:t>
      </w:r>
      <w:r>
        <w:rPr>
          <w:b w:val="0"/>
          <w:bCs/>
          <w:vertAlign w:val="subscript"/>
        </w:rPr>
        <w:t>MAX</w:t>
      </w:r>
      <w:r>
        <w:rPr>
          <w:b w:val="0"/>
          <w:bCs/>
        </w:rPr>
        <w:t>, which was calculated based on the R</w:t>
      </w:r>
      <w:r w:rsidRPr="00FA64A4">
        <w:rPr>
          <w:b w:val="0"/>
          <w:bCs/>
          <w:vertAlign w:val="subscript"/>
        </w:rPr>
        <w:t>MAX</w:t>
      </w:r>
      <w:r>
        <w:rPr>
          <w:b w:val="0"/>
          <w:bCs/>
        </w:rPr>
        <w:t xml:space="preserve"> of a positive control (peptide </w:t>
      </w:r>
      <w:r w:rsidRPr="00FA64A4">
        <w:t>1</w:t>
      </w:r>
      <w:r>
        <w:rPr>
          <w:b w:val="0"/>
          <w:bCs/>
        </w:rPr>
        <w:t>).</w:t>
      </w:r>
    </w:p>
    <w:p w14:paraId="0A8D8D80" w14:textId="77777777" w:rsidR="00EA5CA0" w:rsidRDefault="00EA5CA0" w:rsidP="00EA5CA0">
      <w:pPr>
        <w:pStyle w:val="Caption"/>
      </w:pPr>
    </w:p>
    <w:p w14:paraId="737A0EE9" w14:textId="77777777" w:rsidR="00EA5CA0" w:rsidRPr="004472D0" w:rsidRDefault="00EA5CA0" w:rsidP="00EA5CA0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>Summary of the fitted parameters obtained from each SPR measurement of the Phd</w:t>
      </w:r>
      <w:r w:rsidRPr="00B613B8">
        <w:rPr>
          <w:b w:val="0"/>
          <w:bCs/>
          <w:vertAlign w:val="subscript"/>
        </w:rPr>
        <w:t>STm</w:t>
      </w:r>
      <w:r w:rsidRPr="00B613B8">
        <w:rPr>
          <w:b w:val="0"/>
          <w:bCs/>
          <w:vertAlign w:val="superscript"/>
        </w:rPr>
        <w:t>1-7</w:t>
      </w:r>
      <w:r>
        <w:rPr>
          <w:b w:val="0"/>
          <w:bCs/>
          <w:vertAlign w:val="superscript"/>
        </w:rPr>
        <w:t>3</w:t>
      </w:r>
      <w:r w:rsidRPr="00B613B8">
        <w:rPr>
          <w:b w:val="0"/>
          <w:bCs/>
          <w:vertAlign w:val="superscript"/>
        </w:rPr>
        <w:t xml:space="preserve"> </w:t>
      </w:r>
      <w:r>
        <w:rPr>
          <w:b w:val="0"/>
          <w:bCs/>
        </w:rPr>
        <w:t>protein.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2091"/>
        <w:gridCol w:w="1662"/>
        <w:gridCol w:w="1877"/>
      </w:tblGrid>
      <w:tr w:rsidR="00EA5CA0" w:rsidRPr="00B613B8" w14:paraId="5CD41C21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EF51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BB4D7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581B5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DE249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EC2B7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0C92A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20C34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E65B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EA5CA0" w:rsidRPr="00B613B8" w14:paraId="0AC87224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480D7B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0C4F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5.958 </w:t>
            </w:r>
            <w:r w:rsidRPr="00B613B8">
              <w:rPr>
                <w:rFonts w:cs="Times New Roman"/>
                <w:sz w:val="18"/>
                <w:szCs w:val="18"/>
              </w:rPr>
              <w:t>± 0.001 × 10</w:t>
            </w:r>
            <w:r w:rsidRPr="00B613B8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8F730BB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3.022 </w:t>
            </w:r>
            <w:r w:rsidRPr="00B613B8">
              <w:rPr>
                <w:rFonts w:cs="Times New Roman"/>
                <w:sz w:val="18"/>
                <w:szCs w:val="18"/>
              </w:rPr>
              <w:t>± 0.008 × 10</w:t>
            </w:r>
            <w:r w:rsidRPr="00B613B8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0E153D7E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50.7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5FE4D028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45.0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68127003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5.224 </w:t>
            </w:r>
            <w:r w:rsidRPr="00B613B8">
              <w:rPr>
                <w:rFonts w:cs="Times New Roman"/>
                <w:sz w:val="18"/>
                <w:szCs w:val="18"/>
              </w:rPr>
              <w:t>± 0.020 × 10</w:t>
            </w:r>
            <w:r w:rsidRPr="00B613B8"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266008FF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0.923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4D45D350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15</w:t>
            </w:r>
          </w:p>
        </w:tc>
      </w:tr>
      <w:tr w:rsidR="00EA5CA0" w:rsidRPr="00B613B8" w14:paraId="44258FD4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46CF8CE5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35D016A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4.357 </w:t>
            </w:r>
            <w:r w:rsidRPr="00B613B8">
              <w:rPr>
                <w:rFonts w:cs="Times New Roman"/>
                <w:sz w:val="18"/>
                <w:szCs w:val="18"/>
              </w:rPr>
              <w:t>± 0.001 × 10</w:t>
            </w:r>
            <w:r w:rsidRPr="00B613B8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7" w:type="dxa"/>
            <w:vAlign w:val="center"/>
          </w:tcPr>
          <w:p w14:paraId="420BF947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2.200 </w:t>
            </w:r>
            <w:r w:rsidRPr="00B613B8">
              <w:rPr>
                <w:rFonts w:cs="Times New Roman"/>
                <w:sz w:val="18"/>
                <w:szCs w:val="18"/>
              </w:rPr>
              <w:t>± 0.008 × 10</w:t>
            </w:r>
            <w:r w:rsidRPr="00B613B8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vAlign w:val="center"/>
          </w:tcPr>
          <w:p w14:paraId="6066F45B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50.5</w:t>
            </w:r>
          </w:p>
        </w:tc>
        <w:tc>
          <w:tcPr>
            <w:tcW w:w="1877" w:type="dxa"/>
            <w:vAlign w:val="center"/>
          </w:tcPr>
          <w:p w14:paraId="68B91F8C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91.8</w:t>
            </w:r>
          </w:p>
        </w:tc>
        <w:tc>
          <w:tcPr>
            <w:tcW w:w="2091" w:type="dxa"/>
            <w:vAlign w:val="center"/>
          </w:tcPr>
          <w:p w14:paraId="20FC2B8E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2.354 </w:t>
            </w:r>
            <w:r w:rsidRPr="00B613B8">
              <w:rPr>
                <w:rFonts w:cs="Times New Roman"/>
                <w:sz w:val="18"/>
                <w:szCs w:val="18"/>
              </w:rPr>
              <w:t>± 2.900 × 10</w:t>
            </w:r>
            <w:r w:rsidRPr="00B613B8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vAlign w:val="center"/>
          </w:tcPr>
          <w:p w14:paraId="051FBD6F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1.300</w:t>
            </w:r>
          </w:p>
        </w:tc>
        <w:tc>
          <w:tcPr>
            <w:tcW w:w="1877" w:type="dxa"/>
            <w:vAlign w:val="center"/>
          </w:tcPr>
          <w:p w14:paraId="2DB2EC72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12</w:t>
            </w:r>
          </w:p>
        </w:tc>
      </w:tr>
      <w:tr w:rsidR="00EA5CA0" w:rsidRPr="00B613B8" w14:paraId="4E92F591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0B9D9E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A9BEE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3.873 </w:t>
            </w:r>
            <w:r w:rsidRPr="00B613B8">
              <w:rPr>
                <w:rFonts w:cs="Times New Roman"/>
                <w:sz w:val="18"/>
                <w:szCs w:val="18"/>
              </w:rPr>
              <w:t>± 0.001 × 10</w:t>
            </w:r>
            <w:r w:rsidRPr="00B613B8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42CB1BC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3.421 ± 0.002 × 10</w:t>
            </w:r>
            <w:r w:rsidRPr="00B613B8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11AB3C96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88.3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13FFE50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139.9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3F0C2944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4.360 </w:t>
            </w:r>
            <w:r w:rsidRPr="00B613B8">
              <w:rPr>
                <w:rFonts w:cs="Times New Roman"/>
                <w:sz w:val="18"/>
                <w:szCs w:val="18"/>
              </w:rPr>
              <w:t>± 0.003 × 10</w:t>
            </w:r>
            <w:r w:rsidRPr="00B613B8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5097E640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2.530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E690934" w14:textId="77777777" w:rsidR="00EA5CA0" w:rsidRPr="00B613B8" w:rsidRDefault="00EA5CA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9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110B99"/>
    <w:rsid w:val="002446B1"/>
    <w:rsid w:val="003557C8"/>
    <w:rsid w:val="00392A5F"/>
    <w:rsid w:val="003960DC"/>
    <w:rsid w:val="003D742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BF798B"/>
    <w:rsid w:val="00C15325"/>
    <w:rsid w:val="00CF7B5C"/>
    <w:rsid w:val="00DC678A"/>
    <w:rsid w:val="00E02129"/>
    <w:rsid w:val="00E32030"/>
    <w:rsid w:val="00E45470"/>
    <w:rsid w:val="00EA5CA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2021-04-28T12:36:00Z</cp:lastPrinted>
  <dcterms:created xsi:type="dcterms:W3CDTF">2021-04-28T12:37:00Z</dcterms:created>
  <dcterms:modified xsi:type="dcterms:W3CDTF">2021-04-28T12:37:00Z</dcterms:modified>
</cp:coreProperties>
</file>