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A2B5" w14:textId="6990E3A1" w:rsidR="00FB6544" w:rsidRPr="00FB6544" w:rsidRDefault="00FB6544" w:rsidP="00E71BCB">
      <w:pPr>
        <w:jc w:val="both"/>
        <w:outlineLvl w:val="0"/>
        <w:rPr>
          <w:rFonts w:ascii="Arial" w:hAnsi="Arial"/>
          <w:color w:val="000000" w:themeColor="text1"/>
          <w:spacing w:val="30"/>
          <w:kern w:val="36"/>
          <w:sz w:val="36"/>
          <w:szCs w:val="36"/>
        </w:rPr>
      </w:pPr>
      <w:r w:rsidRPr="00FB6544">
        <w:rPr>
          <w:rFonts w:ascii="Arial" w:hAnsi="Arial"/>
          <w:color w:val="000000" w:themeColor="text1"/>
          <w:spacing w:val="30"/>
          <w:kern w:val="36"/>
          <w:sz w:val="36"/>
          <w:szCs w:val="36"/>
        </w:rPr>
        <w:t>Metadata Recommendations for DataCite Registration</w:t>
      </w:r>
      <w:r w:rsidR="00C257F2">
        <w:rPr>
          <w:rFonts w:ascii="Arial" w:hAnsi="Arial"/>
          <w:color w:val="000000" w:themeColor="text1"/>
          <w:spacing w:val="30"/>
          <w:kern w:val="36"/>
          <w:sz w:val="36"/>
          <w:szCs w:val="36"/>
        </w:rPr>
        <w:t xml:space="preserve">: </w:t>
      </w:r>
      <w:r w:rsidRPr="00FB6544">
        <w:rPr>
          <w:rFonts w:ascii="Arial" w:hAnsi="Arial"/>
          <w:color w:val="000000" w:themeColor="text1"/>
          <w:spacing w:val="30"/>
          <w:kern w:val="36"/>
          <w:sz w:val="36"/>
          <w:szCs w:val="36"/>
        </w:rPr>
        <w:t>Draft recommendations for chemistry</w:t>
      </w:r>
      <w:r w:rsidR="006E6BA2">
        <w:rPr>
          <w:rFonts w:ascii="Arial" w:hAnsi="Arial"/>
          <w:color w:val="000000" w:themeColor="text1"/>
          <w:spacing w:val="30"/>
          <w:kern w:val="36"/>
          <w:sz w:val="36"/>
          <w:szCs w:val="36"/>
        </w:rPr>
        <w:t>. V 1.0.</w:t>
      </w:r>
      <w:r w:rsidR="001F7EED">
        <w:rPr>
          <w:rFonts w:ascii="Arial" w:hAnsi="Arial"/>
          <w:color w:val="000000" w:themeColor="text1"/>
          <w:spacing w:val="30"/>
          <w:kern w:val="36"/>
          <w:sz w:val="36"/>
          <w:szCs w:val="36"/>
        </w:rPr>
        <w:t>2</w:t>
      </w:r>
    </w:p>
    <w:p w14:paraId="1D198CA4" w14:textId="77777777" w:rsidR="00FB6544" w:rsidRPr="00FB6544" w:rsidRDefault="00FB6544" w:rsidP="00E71BCB">
      <w:pPr>
        <w:jc w:val="both"/>
        <w:outlineLvl w:val="0"/>
        <w:rPr>
          <w:rFonts w:ascii="Times" w:hAnsi="Times"/>
          <w:color w:val="226E93"/>
          <w:spacing w:val="30"/>
          <w:kern w:val="36"/>
        </w:rPr>
      </w:pPr>
    </w:p>
    <w:p w14:paraId="7F091135" w14:textId="1A79C40B" w:rsidR="000413A8" w:rsidRDefault="00FB6544" w:rsidP="00E71BCB">
      <w:pPr>
        <w:jc w:val="both"/>
        <w:rPr>
          <w:b/>
        </w:rPr>
      </w:pPr>
      <w:r w:rsidRPr="00FB6544">
        <w:rPr>
          <w:b/>
        </w:rPr>
        <w:t>Background</w:t>
      </w:r>
    </w:p>
    <w:p w14:paraId="4C62A752" w14:textId="7FB9E002" w:rsidR="00FB6544" w:rsidRDefault="00FB6544" w:rsidP="00E71BCB">
      <w:pPr>
        <w:jc w:val="both"/>
        <w:rPr>
          <w:b/>
        </w:rPr>
      </w:pPr>
    </w:p>
    <w:p w14:paraId="2BEB404D" w14:textId="49553A7F" w:rsidR="00A90B4B" w:rsidRPr="003E0CD3" w:rsidRDefault="00FB6544" w:rsidP="00E71BCB">
      <w:pPr>
        <w:jc w:val="both"/>
        <w:rPr>
          <w:rFonts w:ascii="Times" w:hAnsi="Times"/>
        </w:rPr>
      </w:pPr>
      <w:r w:rsidRPr="003E0CD3">
        <w:rPr>
          <w:rFonts w:ascii="Times" w:hAnsi="Times"/>
        </w:rPr>
        <w:t xml:space="preserve">The increasing focus on the management of data and other </w:t>
      </w:r>
      <w:r w:rsidR="00D6234F" w:rsidRPr="003E0CD3">
        <w:rPr>
          <w:rFonts w:ascii="Times" w:hAnsi="Times"/>
        </w:rPr>
        <w:t xml:space="preserve">research </w:t>
      </w:r>
      <w:r w:rsidRPr="003E0CD3">
        <w:rPr>
          <w:rFonts w:ascii="Times" w:hAnsi="Times"/>
        </w:rPr>
        <w:t>objects has identified the need to create appropriate infrastructures for handling metadata describing the attributes of data and file sets. The concept of</w:t>
      </w:r>
      <w:r w:rsidR="003E0CD3">
        <w:rPr>
          <w:rFonts w:ascii="Times" w:hAnsi="Times"/>
        </w:rPr>
        <w:t xml:space="preserve"> </w:t>
      </w:r>
      <w:r w:rsidRPr="003E0CD3">
        <w:rPr>
          <w:rFonts w:ascii="Times" w:hAnsi="Times"/>
        </w:rPr>
        <w:t>FAIR data (F=findable,</w:t>
      </w:r>
      <w:r w:rsidR="003E0CD3">
        <w:rPr>
          <w:rFonts w:ascii="Times" w:hAnsi="Times"/>
        </w:rPr>
        <w:t xml:space="preserve"> </w:t>
      </w:r>
      <w:r w:rsidRPr="003E0CD3">
        <w:rPr>
          <w:rFonts w:ascii="Times" w:hAnsi="Times"/>
        </w:rPr>
        <w:t xml:space="preserve">A=accessible, I=interoperable, R=re-usable) is closely associated with such metadata descriptors. DataCite is a so-called metadata registration agency operating on a global scale and the metadata is identified using a DOI (digital object identifier), </w:t>
      </w:r>
      <w:r w:rsidR="00D53D33" w:rsidRPr="003E0CD3">
        <w:rPr>
          <w:rFonts w:ascii="Times" w:hAnsi="Times"/>
        </w:rPr>
        <w:t>a concept that</w:t>
      </w:r>
      <w:r w:rsidRPr="003E0CD3">
        <w:rPr>
          <w:rFonts w:ascii="Times" w:hAnsi="Times"/>
        </w:rPr>
        <w:t xml:space="preserve"> has been </w:t>
      </w:r>
      <w:r w:rsidR="006E6BA2">
        <w:rPr>
          <w:rFonts w:ascii="Times" w:hAnsi="Times"/>
        </w:rPr>
        <w:t>almost universally</w:t>
      </w:r>
      <w:r w:rsidRPr="003E0CD3">
        <w:rPr>
          <w:rFonts w:ascii="Times" w:hAnsi="Times"/>
        </w:rPr>
        <w:t xml:space="preserve"> used for this purpose in scholarly </w:t>
      </w:r>
      <w:r w:rsidR="00D53D33" w:rsidRPr="003E0CD3">
        <w:rPr>
          <w:rFonts w:ascii="Times" w:hAnsi="Times"/>
        </w:rPr>
        <w:t xml:space="preserve">journal </w:t>
      </w:r>
      <w:r w:rsidRPr="003E0CD3">
        <w:rPr>
          <w:rFonts w:ascii="Times" w:hAnsi="Times"/>
        </w:rPr>
        <w:t>publishing and is now increasingly applied to research data</w:t>
      </w:r>
      <w:r w:rsidR="00D53D33" w:rsidRPr="003E0CD3">
        <w:rPr>
          <w:rFonts w:ascii="Times" w:hAnsi="Times"/>
        </w:rPr>
        <w:t xml:space="preserve"> publishing.</w:t>
      </w:r>
      <w:r w:rsidRPr="003E0CD3">
        <w:rPr>
          <w:rFonts w:ascii="Times" w:hAnsi="Times"/>
        </w:rPr>
        <w:t xml:space="preserve"> DataCite also offer a valuable search interface which can be used to </w:t>
      </w:r>
      <w:r w:rsidR="00D53D33" w:rsidRPr="003E0CD3">
        <w:rPr>
          <w:rFonts w:ascii="Times" w:hAnsi="Times"/>
        </w:rPr>
        <w:t>locate</w:t>
      </w:r>
      <w:r w:rsidRPr="003E0CD3">
        <w:rPr>
          <w:rFonts w:ascii="Times" w:hAnsi="Times"/>
        </w:rPr>
        <w:t xml:space="preserve"> data based on its </w:t>
      </w:r>
      <w:r w:rsidR="00D53D33" w:rsidRPr="003E0CD3">
        <w:rPr>
          <w:rFonts w:ascii="Times" w:hAnsi="Times"/>
        </w:rPr>
        <w:t xml:space="preserve">registered </w:t>
      </w:r>
      <w:r w:rsidRPr="003E0CD3">
        <w:rPr>
          <w:rFonts w:ascii="Times" w:hAnsi="Times"/>
        </w:rPr>
        <w:t>metadata. The core of metadata registration is defined by the schema used by</w:t>
      </w:r>
      <w:r w:rsidR="003E0CD3">
        <w:rPr>
          <w:rFonts w:ascii="Times" w:hAnsi="Times"/>
        </w:rPr>
        <w:t xml:space="preserve"> </w:t>
      </w:r>
      <w:r w:rsidRPr="003E0CD3">
        <w:rPr>
          <w:rFonts w:ascii="Times" w:hAnsi="Times"/>
        </w:rPr>
        <w:t>DataCite, currently at version 4.1.</w:t>
      </w:r>
      <w:r w:rsidRPr="004061CC">
        <w:rPr>
          <w:rStyle w:val="EndnoteReference"/>
          <w:rFonts w:ascii="Times" w:hAnsi="Times"/>
          <w:sz w:val="32"/>
          <w:szCs w:val="32"/>
        </w:rPr>
        <w:endnoteReference w:id="1"/>
      </w:r>
      <w:r w:rsidR="006D49EF" w:rsidRPr="003E0CD3">
        <w:rPr>
          <w:rFonts w:ascii="Times" w:hAnsi="Times"/>
        </w:rPr>
        <w:t xml:space="preserve"> One schema element in particular is designed to be extensible by specific domains and this discussion document address</w:t>
      </w:r>
      <w:r w:rsidR="00A90B4B" w:rsidRPr="003E0CD3">
        <w:rPr>
          <w:rFonts w:ascii="Times" w:hAnsi="Times"/>
        </w:rPr>
        <w:t>es</w:t>
      </w:r>
      <w:r w:rsidR="006D49EF" w:rsidRPr="003E0CD3">
        <w:rPr>
          <w:rFonts w:ascii="Times" w:hAnsi="Times"/>
        </w:rPr>
        <w:t xml:space="preserve"> how this element (Figure 1)</w:t>
      </w:r>
      <w:r w:rsidR="00A90B4B" w:rsidRPr="003E0CD3">
        <w:rPr>
          <w:rFonts w:ascii="Times" w:hAnsi="Times"/>
        </w:rPr>
        <w:t xml:space="preserve"> </w:t>
      </w:r>
      <w:r w:rsidR="00D53D33" w:rsidRPr="003E0CD3">
        <w:rPr>
          <w:rFonts w:ascii="Times" w:hAnsi="Times"/>
        </w:rPr>
        <w:t>might</w:t>
      </w:r>
      <w:r w:rsidR="00A90B4B" w:rsidRPr="003E0CD3">
        <w:rPr>
          <w:rFonts w:ascii="Times" w:hAnsi="Times"/>
        </w:rPr>
        <w:t xml:space="preserve"> be exploited in chemistry.</w:t>
      </w:r>
    </w:p>
    <w:p w14:paraId="18D3AA29" w14:textId="25B8D53C" w:rsidR="00FB6544" w:rsidRDefault="00A90B4B" w:rsidP="006F4F3A">
      <w:pPr>
        <w:jc w:val="center"/>
      </w:pPr>
      <w:r>
        <w:rPr>
          <w:noProof/>
        </w:rPr>
        <w:drawing>
          <wp:inline distT="0" distB="0" distL="0" distR="0" wp14:anchorId="69710A6E" wp14:editId="5B0ABD81">
            <wp:extent cx="3736622" cy="2263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jpg"/>
                    <pic:cNvPicPr/>
                  </pic:nvPicPr>
                  <pic:blipFill>
                    <a:blip r:embed="rId7">
                      <a:extLst>
                        <a:ext uri="{28A0092B-C50C-407E-A947-70E740481C1C}">
                          <a14:useLocalDpi xmlns:a14="http://schemas.microsoft.com/office/drawing/2010/main" val="0"/>
                        </a:ext>
                      </a:extLst>
                    </a:blip>
                    <a:stretch>
                      <a:fillRect/>
                    </a:stretch>
                  </pic:blipFill>
                  <pic:spPr>
                    <a:xfrm>
                      <a:off x="0" y="0"/>
                      <a:ext cx="3761259" cy="2278856"/>
                    </a:xfrm>
                    <a:prstGeom prst="rect">
                      <a:avLst/>
                    </a:prstGeom>
                  </pic:spPr>
                </pic:pic>
              </a:graphicData>
            </a:graphic>
          </wp:inline>
        </w:drawing>
      </w:r>
    </w:p>
    <w:p w14:paraId="3ED912DF" w14:textId="68A97FE0" w:rsidR="00D77C81" w:rsidRDefault="00D77C81" w:rsidP="006F4F3A">
      <w:pPr>
        <w:jc w:val="center"/>
      </w:pPr>
      <w:r>
        <w:t>Figure 1. DataCite schem</w:t>
      </w:r>
      <w:r w:rsidR="00BC2F49">
        <w:t>a</w:t>
      </w:r>
      <w:r>
        <w:t xml:space="preserve"> for the Subject property.</w:t>
      </w:r>
    </w:p>
    <w:p w14:paraId="79818D52" w14:textId="7A177C65" w:rsidR="00A90B4B" w:rsidRDefault="00A90B4B" w:rsidP="00E71BCB">
      <w:pPr>
        <w:jc w:val="both"/>
      </w:pPr>
    </w:p>
    <w:p w14:paraId="720C2766" w14:textId="26200C70" w:rsidR="00A90B4B" w:rsidRPr="00A90B4B" w:rsidRDefault="00A90B4B" w:rsidP="00E71BCB">
      <w:pPr>
        <w:jc w:val="both"/>
        <w:rPr>
          <w:b/>
        </w:rPr>
      </w:pPr>
      <w:r w:rsidRPr="00A90B4B">
        <w:rPr>
          <w:b/>
        </w:rPr>
        <w:t>Applying the DataCite Schema.</w:t>
      </w:r>
    </w:p>
    <w:p w14:paraId="3689D8B0" w14:textId="614AB406" w:rsidR="00A90B4B" w:rsidRDefault="00A90B4B" w:rsidP="00E71BCB">
      <w:pPr>
        <w:jc w:val="both"/>
      </w:pPr>
    </w:p>
    <w:p w14:paraId="0FBF0329" w14:textId="5CF337A4" w:rsidR="000C334C" w:rsidRPr="003E0CD3" w:rsidRDefault="00A90B4B" w:rsidP="00E71BCB">
      <w:pPr>
        <w:jc w:val="both"/>
        <w:rPr>
          <w:rFonts w:ascii="Times" w:hAnsi="Times"/>
        </w:rPr>
      </w:pPr>
      <w:r w:rsidRPr="003E0CD3">
        <w:rPr>
          <w:rFonts w:ascii="Times" w:hAnsi="Times"/>
        </w:rPr>
        <w:t>The essence of applying a metadata schema is that it be integrated into a publishing workflow, with manual</w:t>
      </w:r>
      <w:r w:rsidR="003E0CD3">
        <w:rPr>
          <w:rFonts w:ascii="Times" w:hAnsi="Times"/>
        </w:rPr>
        <w:t xml:space="preserve"> </w:t>
      </w:r>
      <w:r w:rsidRPr="003E0CD3">
        <w:rPr>
          <w:rFonts w:ascii="Times" w:hAnsi="Times"/>
        </w:rPr>
        <w:t>(human) entry deprecated to avoid errors and other inconsistencies. Such workflows are in turn best integrated into data publishing repositories</w:t>
      </w:r>
      <w:r w:rsidR="00EF3CBF" w:rsidRPr="003E0CD3">
        <w:rPr>
          <w:rFonts w:ascii="Times" w:hAnsi="Times"/>
        </w:rPr>
        <w:t>. To facilitate such implementations, we have established</w:t>
      </w:r>
      <w:bookmarkStart w:id="0" w:name="_Ref526944002"/>
      <w:r w:rsidR="00184688" w:rsidRPr="004061CC">
        <w:rPr>
          <w:rStyle w:val="EndnoteReference"/>
          <w:rFonts w:ascii="Times" w:hAnsi="Times"/>
          <w:sz w:val="32"/>
          <w:szCs w:val="32"/>
        </w:rPr>
        <w:endnoteReference w:id="2"/>
      </w:r>
      <w:bookmarkEnd w:id="0"/>
      <w:r w:rsidR="00EF3CBF" w:rsidRPr="003E0CD3">
        <w:rPr>
          <w:rFonts w:ascii="Times" w:hAnsi="Times"/>
        </w:rPr>
        <w:t xml:space="preserve"> </w:t>
      </w:r>
      <w:r w:rsidR="009010A7">
        <w:rPr>
          <w:rFonts w:ascii="Times" w:hAnsi="Times"/>
        </w:rPr>
        <w:t xml:space="preserve">a </w:t>
      </w:r>
      <w:r w:rsidR="00EF3CBF" w:rsidRPr="003E0CD3">
        <w:rPr>
          <w:rFonts w:ascii="Times" w:hAnsi="Times"/>
        </w:rPr>
        <w:t xml:space="preserve">pilot data repository which enables the schema to be tested and which </w:t>
      </w:r>
      <w:r w:rsidR="00D53D33" w:rsidRPr="003E0CD3">
        <w:rPr>
          <w:rFonts w:ascii="Times" w:hAnsi="Times"/>
        </w:rPr>
        <w:t xml:space="preserve">also </w:t>
      </w:r>
      <w:r w:rsidR="00EF3CBF" w:rsidRPr="003E0CD3">
        <w:rPr>
          <w:rFonts w:ascii="Times" w:hAnsi="Times"/>
        </w:rPr>
        <w:t>serv</w:t>
      </w:r>
      <w:r w:rsidR="000C334C" w:rsidRPr="003E0CD3">
        <w:rPr>
          <w:rFonts w:ascii="Times" w:hAnsi="Times"/>
        </w:rPr>
        <w:t>e</w:t>
      </w:r>
      <w:r w:rsidR="00EF3CBF" w:rsidRPr="003E0CD3">
        <w:rPr>
          <w:rFonts w:ascii="Times" w:hAnsi="Times"/>
        </w:rPr>
        <w:t>s as</w:t>
      </w:r>
      <w:r w:rsidR="000C334C" w:rsidRPr="003E0CD3">
        <w:rPr>
          <w:rFonts w:ascii="Times" w:hAnsi="Times"/>
        </w:rPr>
        <w:t xml:space="preserve"> an</w:t>
      </w:r>
      <w:r w:rsidR="00EF3CBF" w:rsidRPr="003E0CD3">
        <w:rPr>
          <w:rFonts w:ascii="Times" w:hAnsi="Times"/>
        </w:rPr>
        <w:t xml:space="preserve"> implementation test bed for recommendations.</w:t>
      </w:r>
      <w:r w:rsidR="00184688" w:rsidRPr="00184688">
        <w:rPr>
          <w:rStyle w:val="EndnoteReference"/>
          <w:rFonts w:ascii="Times" w:hAnsi="Times"/>
          <w:sz w:val="32"/>
          <w:szCs w:val="32"/>
        </w:rPr>
        <w:endnoteReference w:id="3"/>
      </w:r>
      <w:r w:rsidR="00EF3CBF" w:rsidRPr="003E0CD3">
        <w:rPr>
          <w:rFonts w:ascii="Times" w:hAnsi="Times"/>
        </w:rPr>
        <w:t xml:space="preserve"> Other well</w:t>
      </w:r>
      <w:r w:rsidR="00184688">
        <w:rPr>
          <w:rFonts w:ascii="Times" w:hAnsi="Times"/>
        </w:rPr>
        <w:t>-</w:t>
      </w:r>
      <w:r w:rsidR="00EF3CBF" w:rsidRPr="003E0CD3">
        <w:rPr>
          <w:rFonts w:ascii="Times" w:hAnsi="Times"/>
        </w:rPr>
        <w:t>known data repositories such as</w:t>
      </w:r>
      <w:r w:rsidR="003E0CD3">
        <w:rPr>
          <w:rFonts w:ascii="Times" w:hAnsi="Times"/>
        </w:rPr>
        <w:t xml:space="preserve"> </w:t>
      </w:r>
      <w:r w:rsidR="00EF3CBF" w:rsidRPr="003E0CD3">
        <w:rPr>
          <w:rFonts w:ascii="Times" w:hAnsi="Times"/>
        </w:rPr>
        <w:t>Zenodo and</w:t>
      </w:r>
      <w:r w:rsidR="003E0CD3">
        <w:rPr>
          <w:rFonts w:ascii="Times" w:hAnsi="Times"/>
        </w:rPr>
        <w:t xml:space="preserve"> </w:t>
      </w:r>
      <w:r w:rsidR="00EF3CBF" w:rsidRPr="003E0CD3">
        <w:rPr>
          <w:rFonts w:ascii="Times" w:hAnsi="Times"/>
        </w:rPr>
        <w:t xml:space="preserve">Figshare either do not enable rich </w:t>
      </w:r>
      <w:r w:rsidR="000C334C" w:rsidRPr="003E0CD3">
        <w:rPr>
          <w:rFonts w:ascii="Times" w:hAnsi="Times"/>
        </w:rPr>
        <w:t>exploitation</w:t>
      </w:r>
      <w:r w:rsidR="00EF3CBF" w:rsidRPr="003E0CD3">
        <w:rPr>
          <w:rFonts w:ascii="Times" w:hAnsi="Times"/>
        </w:rPr>
        <w:t xml:space="preserve"> of the</w:t>
      </w:r>
      <w:r w:rsidR="003E0CD3">
        <w:rPr>
          <w:rFonts w:ascii="Times" w:hAnsi="Times"/>
        </w:rPr>
        <w:t xml:space="preserve"> </w:t>
      </w:r>
      <w:r w:rsidR="00EF3CBF" w:rsidRPr="003E0CD3">
        <w:rPr>
          <w:rFonts w:ascii="Times" w:hAnsi="Times"/>
        </w:rPr>
        <w:t>DataCite scheme</w:t>
      </w:r>
      <w:r w:rsidR="00D53D33" w:rsidRPr="003E0CD3">
        <w:rPr>
          <w:rFonts w:ascii="Times" w:hAnsi="Times"/>
        </w:rPr>
        <w:t>,</w:t>
      </w:r>
      <w:r w:rsidR="00EF3CBF" w:rsidRPr="003E0CD3">
        <w:rPr>
          <w:rFonts w:ascii="Times" w:hAnsi="Times"/>
        </w:rPr>
        <w:t xml:space="preserve"> require it to be populated manually</w:t>
      </w:r>
      <w:r w:rsidR="00D53D33" w:rsidRPr="003E0CD3">
        <w:rPr>
          <w:rFonts w:ascii="Times" w:hAnsi="Times"/>
        </w:rPr>
        <w:t xml:space="preserve"> or provide such features only </w:t>
      </w:r>
      <w:r w:rsidR="00D53D33" w:rsidRPr="003E0CD3">
        <w:rPr>
          <w:rFonts w:ascii="Times" w:hAnsi="Times"/>
          <w:i/>
        </w:rPr>
        <w:t>via</w:t>
      </w:r>
      <w:r w:rsidR="00D53D33" w:rsidRPr="003E0CD3">
        <w:rPr>
          <w:rFonts w:ascii="Times" w:hAnsi="Times"/>
        </w:rPr>
        <w:t xml:space="preserve"> a commercially licensed version.</w:t>
      </w:r>
    </w:p>
    <w:p w14:paraId="54C32955" w14:textId="77777777" w:rsidR="00797330" w:rsidRPr="003E0CD3" w:rsidRDefault="00797330" w:rsidP="00E71BCB">
      <w:pPr>
        <w:jc w:val="both"/>
        <w:rPr>
          <w:rFonts w:ascii="Times" w:hAnsi="Times"/>
        </w:rPr>
      </w:pPr>
    </w:p>
    <w:p w14:paraId="3E8457EC" w14:textId="725AA6BE" w:rsidR="00797330" w:rsidRPr="003E0CD3" w:rsidRDefault="000C334C" w:rsidP="00E71BCB">
      <w:pPr>
        <w:jc w:val="both"/>
        <w:rPr>
          <w:rFonts w:ascii="Times" w:hAnsi="Times"/>
        </w:rPr>
      </w:pPr>
      <w:r w:rsidRPr="003E0CD3">
        <w:rPr>
          <w:rFonts w:ascii="Times" w:hAnsi="Times"/>
        </w:rPr>
        <w:t>The subject schem</w:t>
      </w:r>
      <w:r w:rsidR="00BC2F49">
        <w:rPr>
          <w:rFonts w:ascii="Times" w:hAnsi="Times"/>
        </w:rPr>
        <w:t>a</w:t>
      </w:r>
      <w:r w:rsidRPr="003E0CD3">
        <w:rPr>
          <w:rFonts w:ascii="Times" w:hAnsi="Times"/>
        </w:rPr>
        <w:t xml:space="preserve"> (Figure 1) is implemented in XML as </w:t>
      </w:r>
      <w:r w:rsidR="00797330" w:rsidRPr="003E0CD3">
        <w:rPr>
          <w:rFonts w:ascii="Times" w:hAnsi="Times"/>
        </w:rPr>
        <w:t>shown in scheme 1.</w:t>
      </w:r>
    </w:p>
    <w:p w14:paraId="41AD3E0E" w14:textId="77777777" w:rsidR="008B6CB2" w:rsidRDefault="008B6CB2" w:rsidP="00E71BCB">
      <w:pPr>
        <w:jc w:val="both"/>
        <w:rPr>
          <w:rFonts w:ascii="Courier" w:hAnsi="Courier"/>
          <w:sz w:val="16"/>
          <w:szCs w:val="16"/>
        </w:rPr>
      </w:pPr>
    </w:p>
    <w:p w14:paraId="441F633C" w14:textId="25D04329" w:rsidR="009F0EC2" w:rsidRPr="009F0EC2" w:rsidRDefault="009F0EC2" w:rsidP="008B6CB2">
      <w:pPr>
        <w:rPr>
          <w:rFonts w:ascii="Courier" w:hAnsi="Courier"/>
          <w:sz w:val="16"/>
          <w:szCs w:val="16"/>
        </w:rPr>
      </w:pPr>
      <w:r w:rsidRPr="009F0EC2">
        <w:rPr>
          <w:rFonts w:ascii="Courier" w:hAnsi="Courier"/>
          <w:sz w:val="16"/>
          <w:szCs w:val="16"/>
        </w:rPr>
        <w:t>&lt;subjects&gt;</w:t>
      </w:r>
    </w:p>
    <w:p w14:paraId="032EDFF3" w14:textId="24DA0529" w:rsidR="009F0EC2" w:rsidRPr="009F0EC2" w:rsidRDefault="009F0EC2" w:rsidP="006E6BA2">
      <w:pPr>
        <w:ind w:left="280"/>
        <w:rPr>
          <w:rFonts w:ascii="Courier" w:hAnsi="Courier"/>
          <w:sz w:val="16"/>
          <w:szCs w:val="16"/>
        </w:rPr>
      </w:pPr>
      <w:r w:rsidRPr="009F0EC2">
        <w:rPr>
          <w:rFonts w:ascii="Courier" w:hAnsi="Courier"/>
          <w:sz w:val="16"/>
          <w:szCs w:val="16"/>
        </w:rPr>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Gibbs_Energy</w:t>
      </w:r>
      <w:proofErr w:type="spellEnd"/>
      <w:r w:rsidRPr="009F0EC2">
        <w:rPr>
          <w:rFonts w:ascii="Courier" w:hAnsi="Courier"/>
          <w:sz w:val="16"/>
          <w:szCs w:val="16"/>
        </w:rPr>
        <w:t xml:space="preserve">" </w:t>
      </w:r>
      <w:proofErr w:type="spellStart"/>
      <w:r w:rsidRPr="009F0EC2">
        <w:rPr>
          <w:rFonts w:ascii="Courier" w:hAnsi="Courier"/>
          <w:sz w:val="16"/>
          <w:szCs w:val="16"/>
        </w:rPr>
        <w:t>schemeURI</w:t>
      </w:r>
      <w:proofErr w:type="spellEnd"/>
      <w:r w:rsidRPr="009F0EC2">
        <w:rPr>
          <w:rFonts w:ascii="Courier" w:hAnsi="Courier"/>
          <w:sz w:val="16"/>
          <w:szCs w:val="16"/>
        </w:rPr>
        <w:t xml:space="preserve">="https://doi.org/10.1351/goldbook.G02629" </w:t>
      </w:r>
      <w:r w:rsidR="006E6BA2">
        <w:rPr>
          <w:rFonts w:ascii="Courier" w:hAnsi="Courier"/>
          <w:sz w:val="16"/>
          <w:szCs w:val="16"/>
        </w:rPr>
        <w:t xml:space="preserve">                   </w:t>
      </w:r>
      <w:proofErr w:type="spellStart"/>
      <w:r w:rsidRPr="009F0EC2">
        <w:rPr>
          <w:rFonts w:ascii="Courier" w:hAnsi="Courier"/>
          <w:sz w:val="16"/>
          <w:szCs w:val="16"/>
        </w:rPr>
        <w:t>valueURI</w:t>
      </w:r>
      <w:proofErr w:type="spellEnd"/>
      <w:r w:rsidRPr="009F0EC2">
        <w:rPr>
          <w:rFonts w:ascii="Courier" w:hAnsi="Courier"/>
          <w:sz w:val="16"/>
          <w:szCs w:val="16"/>
        </w:rPr>
        <w:t>="http://gaussian.com/</w:t>
      </w:r>
      <w:proofErr w:type="spellStart"/>
      <w:r w:rsidRPr="009F0EC2">
        <w:rPr>
          <w:rFonts w:ascii="Courier" w:hAnsi="Courier"/>
          <w:sz w:val="16"/>
          <w:szCs w:val="16"/>
        </w:rPr>
        <w:t>thermo</w:t>
      </w:r>
      <w:proofErr w:type="spellEnd"/>
      <w:r w:rsidRPr="009F0EC2">
        <w:rPr>
          <w:rFonts w:ascii="Courier" w:hAnsi="Courier"/>
          <w:sz w:val="16"/>
          <w:szCs w:val="16"/>
        </w:rPr>
        <w:t>/"&gt;-2861.844629&lt;/subject&gt;</w:t>
      </w:r>
    </w:p>
    <w:p w14:paraId="38521703" w14:textId="5374F461" w:rsidR="009F0EC2" w:rsidRPr="009F0EC2" w:rsidRDefault="009F0EC2" w:rsidP="006E6BA2">
      <w:pPr>
        <w:ind w:left="280"/>
        <w:rPr>
          <w:rFonts w:ascii="Courier" w:hAnsi="Courier"/>
          <w:sz w:val="16"/>
          <w:szCs w:val="16"/>
        </w:rPr>
      </w:pPr>
      <w:r w:rsidRPr="009F0EC2">
        <w:rPr>
          <w:rFonts w:ascii="Courier" w:hAnsi="Courier"/>
          <w:sz w:val="16"/>
          <w:szCs w:val="16"/>
        </w:rPr>
        <w:lastRenderedPageBreak/>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inchi</w:t>
      </w:r>
      <w:proofErr w:type="spellEnd"/>
      <w:r w:rsidRPr="009F0EC2">
        <w:rPr>
          <w:rFonts w:ascii="Courier" w:hAnsi="Courier"/>
          <w:sz w:val="16"/>
          <w:szCs w:val="16"/>
        </w:rPr>
        <w:t>" schemeURI="http://www.inchi-trust.org/"&gt;InChI=1S/C24H32NOSi.C7H4ClN2O4.C6H15N.H2O/c1-5-6-19-25-20-13-18-23(25)24(26-27(2,3)4,21-14-9-7-10-15-21)22-16-11-8-12-17-22;8-4-5-1-2-6(9(11)12)3-7(5)10(13)14;1-5(2)7-6(3)4;/h5-12,14-17,19,23H,13,18,20H2,1-4H3;1-4H;5-7H,1-4H3;1H2/t23-;;;/m0.../s1&lt;/subject&gt;</w:t>
      </w:r>
    </w:p>
    <w:p w14:paraId="4049AE9A" w14:textId="4455E0BF" w:rsidR="009F0EC2" w:rsidRPr="009F0EC2" w:rsidRDefault="009F0EC2" w:rsidP="006E6BA2">
      <w:pPr>
        <w:ind w:left="280"/>
        <w:rPr>
          <w:rFonts w:ascii="Courier" w:hAnsi="Courier"/>
          <w:sz w:val="16"/>
          <w:szCs w:val="16"/>
        </w:rPr>
      </w:pPr>
      <w:r w:rsidRPr="009F0EC2">
        <w:rPr>
          <w:rFonts w:ascii="Courier" w:hAnsi="Courier"/>
          <w:sz w:val="16"/>
          <w:szCs w:val="16"/>
        </w:rPr>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inchikey</w:t>
      </w:r>
      <w:proofErr w:type="spellEnd"/>
      <w:r w:rsidRPr="009F0EC2">
        <w:rPr>
          <w:rFonts w:ascii="Courier" w:hAnsi="Courier"/>
          <w:sz w:val="16"/>
          <w:szCs w:val="16"/>
        </w:rPr>
        <w:t>" schemeURI="http://www.inchi-trust.org/"&gt;YAQIMGRXQRJPNV-AQUVTFJZSA-N&lt;/subject&gt;</w:t>
      </w:r>
    </w:p>
    <w:p w14:paraId="1DE2885E" w14:textId="63FB362F" w:rsidR="00797330" w:rsidRDefault="009F0EC2" w:rsidP="008B6CB2">
      <w:pPr>
        <w:rPr>
          <w:rFonts w:ascii="Courier" w:hAnsi="Courier"/>
          <w:sz w:val="16"/>
          <w:szCs w:val="16"/>
        </w:rPr>
      </w:pPr>
      <w:r w:rsidRPr="009F0EC2">
        <w:rPr>
          <w:rFonts w:ascii="Courier" w:hAnsi="Courier"/>
          <w:sz w:val="16"/>
          <w:szCs w:val="16"/>
        </w:rPr>
        <w:t>&lt;/subjects&gt;</w:t>
      </w:r>
    </w:p>
    <w:p w14:paraId="375A92CD" w14:textId="28BE8144" w:rsidR="006E6BA2" w:rsidRDefault="006E6BA2" w:rsidP="008B6CB2">
      <w:pPr>
        <w:rPr>
          <w:rFonts w:ascii="Courier" w:hAnsi="Courier"/>
          <w:sz w:val="16"/>
          <w:szCs w:val="16"/>
        </w:rPr>
      </w:pPr>
    </w:p>
    <w:p w14:paraId="2F71C96C" w14:textId="66E09C7C" w:rsidR="006E6BA2" w:rsidRPr="006E6BA2" w:rsidRDefault="006E6BA2" w:rsidP="008B6CB2">
      <w:pPr>
        <w:rPr>
          <w:rFonts w:ascii="Times" w:hAnsi="Times"/>
          <w:b/>
        </w:rPr>
      </w:pPr>
      <w:r w:rsidRPr="006E6BA2">
        <w:rPr>
          <w:rFonts w:ascii="Times" w:hAnsi="Times"/>
          <w:b/>
        </w:rPr>
        <w:t xml:space="preserve">Scheme 1. </w:t>
      </w:r>
    </w:p>
    <w:p w14:paraId="17F251BB" w14:textId="77777777" w:rsidR="009F0EC2" w:rsidRDefault="009F0EC2" w:rsidP="00E71BCB">
      <w:pPr>
        <w:jc w:val="both"/>
      </w:pPr>
    </w:p>
    <w:p w14:paraId="09E92D17" w14:textId="5AC573E0" w:rsidR="00A90B4B" w:rsidRPr="003E0CD3" w:rsidRDefault="00797330" w:rsidP="00E71BCB">
      <w:pPr>
        <w:jc w:val="both"/>
        <w:rPr>
          <w:rFonts w:ascii="Times" w:hAnsi="Times"/>
        </w:rPr>
      </w:pPr>
      <w:r w:rsidRPr="003E0CD3">
        <w:rPr>
          <w:rFonts w:ascii="Times" w:hAnsi="Times"/>
        </w:rPr>
        <w:t>For each value of a subjectScheme, a SchemeURI is recommended</w:t>
      </w:r>
      <w:r w:rsidR="003E0CD3">
        <w:rPr>
          <w:rFonts w:ascii="Times" w:hAnsi="Times"/>
        </w:rPr>
        <w:t xml:space="preserve"> </w:t>
      </w:r>
      <w:r w:rsidRPr="003E0CD3">
        <w:rPr>
          <w:rFonts w:ascii="Times" w:hAnsi="Times"/>
        </w:rPr>
        <w:t xml:space="preserve">and if </w:t>
      </w:r>
      <w:proofErr w:type="gramStart"/>
      <w:r w:rsidRPr="003E0CD3">
        <w:rPr>
          <w:rFonts w:ascii="Times" w:hAnsi="Times"/>
        </w:rPr>
        <w:t>possible</w:t>
      </w:r>
      <w:proofErr w:type="gramEnd"/>
      <w:r w:rsidRPr="003E0CD3">
        <w:rPr>
          <w:rFonts w:ascii="Times" w:hAnsi="Times"/>
        </w:rPr>
        <w:t xml:space="preserve"> </w:t>
      </w:r>
      <w:r w:rsidR="00D53D33" w:rsidRPr="003E0CD3">
        <w:rPr>
          <w:rFonts w:ascii="Times" w:hAnsi="Times"/>
        </w:rPr>
        <w:t xml:space="preserve">it </w:t>
      </w:r>
      <w:r w:rsidRPr="003E0CD3">
        <w:rPr>
          <w:rFonts w:ascii="Times" w:hAnsi="Times"/>
        </w:rPr>
        <w:t>should also be a persistent identifier (PID) in the form of a</w:t>
      </w:r>
      <w:r w:rsidR="003E0CD3">
        <w:rPr>
          <w:rFonts w:ascii="Times" w:hAnsi="Times"/>
        </w:rPr>
        <w:t xml:space="preserve"> </w:t>
      </w:r>
      <w:r w:rsidRPr="003E0CD3">
        <w:rPr>
          <w:rFonts w:ascii="Times" w:hAnsi="Times"/>
        </w:rPr>
        <w:t xml:space="preserve">DOI or other. In the above example, this DOI is provided by the appropriate entry in the IUPAC </w:t>
      </w:r>
      <w:proofErr w:type="spellStart"/>
      <w:r w:rsidRPr="003E0CD3">
        <w:rPr>
          <w:rFonts w:ascii="Times" w:hAnsi="Times"/>
        </w:rPr>
        <w:t>Goldbook</w:t>
      </w:r>
      <w:proofErr w:type="spellEnd"/>
      <w:r w:rsidR="006E6BA2">
        <w:rPr>
          <w:rFonts w:ascii="Times" w:hAnsi="Times"/>
        </w:rPr>
        <w:t xml:space="preserve"> if it exists.</w:t>
      </w:r>
      <w:r w:rsidRPr="003E0CD3">
        <w:rPr>
          <w:rFonts w:ascii="Times" w:hAnsi="Times"/>
        </w:rPr>
        <w:t xml:space="preserve"> To disambiguate various possible implementations of </w:t>
      </w:r>
      <w:proofErr w:type="gramStart"/>
      <w:r w:rsidRPr="003E0CD3">
        <w:rPr>
          <w:rFonts w:ascii="Times" w:hAnsi="Times"/>
        </w:rPr>
        <w:t>a</w:t>
      </w:r>
      <w:proofErr w:type="gramEnd"/>
      <w:r w:rsidRPr="003E0CD3">
        <w:rPr>
          <w:rFonts w:ascii="Times" w:hAnsi="Times"/>
        </w:rPr>
        <w:t xml:space="preserve"> IUPAC-defined properties, a </w:t>
      </w:r>
      <w:proofErr w:type="spellStart"/>
      <w:r w:rsidRPr="003E0CD3">
        <w:rPr>
          <w:rFonts w:ascii="Times" w:hAnsi="Times"/>
        </w:rPr>
        <w:t>valueURI</w:t>
      </w:r>
      <w:proofErr w:type="spellEnd"/>
      <w:r w:rsidRPr="003E0CD3">
        <w:rPr>
          <w:rFonts w:ascii="Times" w:hAnsi="Times"/>
        </w:rPr>
        <w:t xml:space="preserve"> can also be provided. In this example, it is the implementation of the Gibbs energy thermodynamic property in the Gaussian program codebase.</w:t>
      </w:r>
      <w:r w:rsidR="003E0CD3">
        <w:rPr>
          <w:rFonts w:ascii="Times" w:hAnsi="Times"/>
        </w:rPr>
        <w:t xml:space="preserve"> </w:t>
      </w:r>
      <w:r w:rsidRPr="003E0CD3">
        <w:rPr>
          <w:rFonts w:ascii="Times" w:hAnsi="Times"/>
        </w:rPr>
        <w:t xml:space="preserve">The URI </w:t>
      </w:r>
      <w:r w:rsidR="00BC2F49">
        <w:rPr>
          <w:rFonts w:ascii="Times" w:hAnsi="Times"/>
        </w:rPr>
        <w:t xml:space="preserve">shown </w:t>
      </w:r>
      <w:r w:rsidRPr="003E0CD3">
        <w:rPr>
          <w:rFonts w:ascii="Times" w:hAnsi="Times"/>
        </w:rPr>
        <w:t>here is not in the form of a persistent identifier</w:t>
      </w:r>
      <w:r w:rsidR="006E6BA2">
        <w:rPr>
          <w:rFonts w:ascii="Times" w:hAnsi="Times"/>
        </w:rPr>
        <w:t>. W</w:t>
      </w:r>
      <w:r w:rsidRPr="003E0CD3">
        <w:rPr>
          <w:rFonts w:ascii="Times" w:hAnsi="Times"/>
        </w:rPr>
        <w:t xml:space="preserve">here instances such as this are identified, it is suggested that the organisation </w:t>
      </w:r>
      <w:r w:rsidR="00D53D33" w:rsidRPr="003E0CD3">
        <w:rPr>
          <w:rFonts w:ascii="Times" w:hAnsi="Times"/>
        </w:rPr>
        <w:t>owning</w:t>
      </w:r>
      <w:r w:rsidRPr="003E0CD3">
        <w:rPr>
          <w:rFonts w:ascii="Times" w:hAnsi="Times"/>
        </w:rPr>
        <w:t xml:space="preserve"> the</w:t>
      </w:r>
      <w:r w:rsidR="003E0CD3">
        <w:rPr>
          <w:rFonts w:ascii="Times" w:hAnsi="Times"/>
        </w:rPr>
        <w:t xml:space="preserve"> </w:t>
      </w:r>
      <w:r w:rsidRPr="003E0CD3">
        <w:rPr>
          <w:rFonts w:ascii="Times" w:hAnsi="Times"/>
        </w:rPr>
        <w:t>UR</w:t>
      </w:r>
      <w:r w:rsidR="00D53D33" w:rsidRPr="003E0CD3">
        <w:rPr>
          <w:rFonts w:ascii="Times" w:hAnsi="Times"/>
        </w:rPr>
        <w:t>L</w:t>
      </w:r>
      <w:r w:rsidRPr="003E0CD3">
        <w:rPr>
          <w:rFonts w:ascii="Times" w:hAnsi="Times"/>
        </w:rPr>
        <w:t xml:space="preserve"> be contacted and urged to convert it to a PID</w:t>
      </w:r>
      <w:r w:rsidR="00D53D33" w:rsidRPr="003E0CD3">
        <w:rPr>
          <w:rFonts w:ascii="Times" w:hAnsi="Times"/>
        </w:rPr>
        <w:t xml:space="preserve"> such as a DOI.</w:t>
      </w:r>
      <w:r w:rsidR="003E0CD3">
        <w:rPr>
          <w:rFonts w:ascii="Times" w:hAnsi="Times"/>
        </w:rPr>
        <w:t xml:space="preserve"> </w:t>
      </w:r>
    </w:p>
    <w:p w14:paraId="4FC95887" w14:textId="7A561280" w:rsidR="00797330" w:rsidRPr="003E0CD3" w:rsidRDefault="00797330" w:rsidP="00E71BCB">
      <w:pPr>
        <w:jc w:val="both"/>
        <w:rPr>
          <w:rFonts w:ascii="Times" w:hAnsi="Times"/>
        </w:rPr>
      </w:pPr>
    </w:p>
    <w:p w14:paraId="5310A213" w14:textId="15A82784" w:rsidR="00797330" w:rsidRDefault="00797330" w:rsidP="00E71BCB">
      <w:pPr>
        <w:jc w:val="both"/>
      </w:pPr>
      <w:r w:rsidRPr="003E0CD3">
        <w:rPr>
          <w:rFonts w:ascii="Times" w:hAnsi="Times"/>
        </w:rPr>
        <w:t>One metadata is registered in such a form, it can now be queried using the DataCite interface.</w:t>
      </w:r>
      <w:r w:rsidR="003E0CD3">
        <w:rPr>
          <w:rFonts w:ascii="Times" w:hAnsi="Times"/>
        </w:rPr>
        <w:t xml:space="preserve"> </w:t>
      </w:r>
      <w:r w:rsidRPr="003E0CD3">
        <w:rPr>
          <w:rFonts w:ascii="Times" w:hAnsi="Times"/>
        </w:rPr>
        <w:t xml:space="preserve">The </w:t>
      </w:r>
      <w:r w:rsidR="009010A7">
        <w:rPr>
          <w:rFonts w:ascii="Times" w:hAnsi="Times"/>
        </w:rPr>
        <w:t>(</w:t>
      </w:r>
      <w:r w:rsidR="001F7EED">
        <w:rPr>
          <w:rFonts w:ascii="Times" w:hAnsi="Times"/>
        </w:rPr>
        <w:t>new</w:t>
      </w:r>
      <w:r w:rsidR="009010A7">
        <w:rPr>
          <w:rFonts w:ascii="Times" w:hAnsi="Times"/>
        </w:rPr>
        <w:t>)</w:t>
      </w:r>
      <w:r w:rsidR="001F7EED">
        <w:rPr>
          <w:rFonts w:ascii="Times" w:hAnsi="Times"/>
        </w:rPr>
        <w:t xml:space="preserve"> </w:t>
      </w:r>
      <w:proofErr w:type="spellStart"/>
      <w:r w:rsidR="001F7EED">
        <w:rPr>
          <w:rFonts w:ascii="Times" w:hAnsi="Times"/>
        </w:rPr>
        <w:t>DataCite</w:t>
      </w:r>
      <w:proofErr w:type="spellEnd"/>
      <w:r w:rsidRPr="003E0CD3">
        <w:rPr>
          <w:rFonts w:ascii="Times" w:hAnsi="Times"/>
        </w:rPr>
        <w:t xml:space="preserve"> search engine is based on </w:t>
      </w:r>
      <w:proofErr w:type="spellStart"/>
      <w:r w:rsidR="001F7EED">
        <w:rPr>
          <w:rFonts w:ascii="Times" w:hAnsi="Times"/>
        </w:rPr>
        <w:t>ElasticSearch</w:t>
      </w:r>
      <w:proofErr w:type="spellEnd"/>
      <w:r w:rsidRPr="003E0CD3">
        <w:rPr>
          <w:rFonts w:ascii="Times" w:hAnsi="Times"/>
        </w:rPr>
        <w:t>,</w:t>
      </w:r>
      <w:r w:rsidR="003E0CD3">
        <w:rPr>
          <w:rFonts w:ascii="Times" w:hAnsi="Times"/>
        </w:rPr>
        <w:t xml:space="preserve"> </w:t>
      </w:r>
      <w:r w:rsidRPr="003E0CD3">
        <w:rPr>
          <w:rFonts w:ascii="Times" w:hAnsi="Times"/>
        </w:rPr>
        <w:t>and the syntax</w:t>
      </w:r>
      <w:r w:rsidR="001F7EED">
        <w:rPr>
          <w:rFonts w:ascii="Times" w:hAnsi="Times"/>
        </w:rPr>
        <w:t xml:space="preserve"> (significantly different from the old syntax based on </w:t>
      </w:r>
      <w:proofErr w:type="spellStart"/>
      <w:r w:rsidR="001F7EED">
        <w:rPr>
          <w:rFonts w:ascii="Times" w:hAnsi="Times"/>
        </w:rPr>
        <w:t>Solr</w:t>
      </w:r>
      <w:proofErr w:type="spellEnd"/>
      <w:r w:rsidR="009010A7">
        <w:rPr>
          <w:rFonts w:ascii="Times" w:hAnsi="Times"/>
        </w:rPr>
        <w:t xml:space="preserve"> which was superseded in January 2019</w:t>
      </w:r>
      <w:r w:rsidR="001F7EED">
        <w:rPr>
          <w:rFonts w:ascii="Times" w:hAnsi="Times"/>
        </w:rPr>
        <w:t>)</w:t>
      </w:r>
      <w:r w:rsidRPr="003E0CD3">
        <w:rPr>
          <w:rFonts w:ascii="Times" w:hAnsi="Times"/>
        </w:rPr>
        <w:t xml:space="preserve"> is shown </w:t>
      </w:r>
      <w:r w:rsidR="009010A7">
        <w:rPr>
          <w:rFonts w:ascii="Times" w:hAnsi="Times"/>
        </w:rPr>
        <w:t xml:space="preserve">in </w:t>
      </w:r>
      <w:r w:rsidRPr="003E0CD3">
        <w:rPr>
          <w:rFonts w:ascii="Times" w:hAnsi="Times"/>
        </w:rPr>
        <w:t>Scheme 2.</w:t>
      </w:r>
    </w:p>
    <w:p w14:paraId="6EC0095E" w14:textId="58345E59" w:rsidR="00797330" w:rsidRDefault="00797330" w:rsidP="00E71BCB">
      <w:pPr>
        <w:jc w:val="both"/>
      </w:pPr>
    </w:p>
    <w:p w14:paraId="22B3A8C2" w14:textId="5B5202EC" w:rsidR="00D53D33" w:rsidRDefault="001F7EED" w:rsidP="00E71BCB">
      <w:pPr>
        <w:jc w:val="both"/>
      </w:pPr>
      <w:hyperlink r:id="rId8" w:history="1">
        <w:r w:rsidRPr="006456CD">
          <w:rPr>
            <w:rStyle w:val="Hyperlink"/>
          </w:rPr>
          <w:t>https://search.datacite.org/works?query=(subjects.subjectScheme:inchikey+AND+subjects.subject:KTOSDSJYNBIDCN-UHFFFAOYSA-N)+AND+(subjects.subjectScheme:Gibbs_Energ</w:t>
        </w:r>
        <w:r w:rsidRPr="006456CD">
          <w:rPr>
            <w:rStyle w:val="Hyperlink"/>
          </w:rPr>
          <w:t>y</w:t>
        </w:r>
        <w:r w:rsidRPr="006456CD">
          <w:rPr>
            <w:rStyle w:val="Hyperlink"/>
          </w:rPr>
          <w:t>+AND+subjects.subject:"-1082.980914")</w:t>
        </w:r>
      </w:hyperlink>
    </w:p>
    <w:p w14:paraId="79222EAA" w14:textId="77777777" w:rsidR="001F7EED" w:rsidRDefault="001F7EED" w:rsidP="00E71BCB">
      <w:pPr>
        <w:jc w:val="both"/>
        <w:rPr>
          <w:rFonts w:ascii="Courier" w:hAnsi="Courier"/>
          <w:sz w:val="16"/>
          <w:szCs w:val="16"/>
        </w:rPr>
      </w:pPr>
    </w:p>
    <w:p w14:paraId="5B2557B0" w14:textId="5624CC9A" w:rsidR="006E6BA2" w:rsidRPr="006E6BA2" w:rsidRDefault="006E6BA2" w:rsidP="00E71BCB">
      <w:pPr>
        <w:jc w:val="both"/>
        <w:rPr>
          <w:rFonts w:ascii="Times" w:hAnsi="Times"/>
          <w:b/>
        </w:rPr>
      </w:pPr>
      <w:r w:rsidRPr="006E6BA2">
        <w:rPr>
          <w:rFonts w:ascii="Times" w:hAnsi="Times"/>
          <w:b/>
        </w:rPr>
        <w:t>Scheme 2.</w:t>
      </w:r>
    </w:p>
    <w:p w14:paraId="5957DAD4" w14:textId="77777777" w:rsidR="006E6BA2" w:rsidRDefault="006E6BA2" w:rsidP="00E71BCB">
      <w:pPr>
        <w:jc w:val="both"/>
        <w:rPr>
          <w:rFonts w:ascii="Times" w:hAnsi="Times"/>
        </w:rPr>
      </w:pPr>
    </w:p>
    <w:p w14:paraId="0F58166B" w14:textId="543B6BF5" w:rsidR="00797330" w:rsidRPr="003E0CD3" w:rsidRDefault="00797330" w:rsidP="00E71BCB">
      <w:pPr>
        <w:jc w:val="both"/>
        <w:rPr>
          <w:rFonts w:ascii="Times" w:hAnsi="Times"/>
        </w:rPr>
      </w:pPr>
      <w:r w:rsidRPr="003E0CD3">
        <w:rPr>
          <w:rFonts w:ascii="Times" w:hAnsi="Times"/>
        </w:rPr>
        <w:t>In plain</w:t>
      </w:r>
      <w:r w:rsidR="00243EE8">
        <w:rPr>
          <w:rFonts w:ascii="Times" w:hAnsi="Times"/>
        </w:rPr>
        <w:t>er</w:t>
      </w:r>
      <w:r w:rsidRPr="003E0CD3">
        <w:rPr>
          <w:rFonts w:ascii="Times" w:hAnsi="Times"/>
        </w:rPr>
        <w:t xml:space="preserve"> English, this translates to “</w:t>
      </w:r>
      <w:r w:rsidR="00921806" w:rsidRPr="003E0CD3">
        <w:rPr>
          <w:rFonts w:ascii="Times" w:hAnsi="Times"/>
        </w:rPr>
        <w:t xml:space="preserve">find all registered instances of </w:t>
      </w:r>
      <w:r w:rsidR="00BC2F49">
        <w:rPr>
          <w:rFonts w:ascii="Times" w:hAnsi="Times"/>
        </w:rPr>
        <w:t xml:space="preserve">registered </w:t>
      </w:r>
      <w:r w:rsidR="00921806" w:rsidRPr="003E0CD3">
        <w:rPr>
          <w:rFonts w:ascii="Times" w:hAnsi="Times"/>
        </w:rPr>
        <w:t xml:space="preserve">data </w:t>
      </w:r>
      <w:r w:rsidR="006E6BA2">
        <w:rPr>
          <w:rFonts w:ascii="Times" w:hAnsi="Times"/>
        </w:rPr>
        <w:t xml:space="preserve">for which the following two statements are both true; </w:t>
      </w:r>
      <w:r w:rsidR="00921806" w:rsidRPr="003E0CD3">
        <w:rPr>
          <w:rFonts w:ascii="Times" w:hAnsi="Times"/>
        </w:rPr>
        <w:t xml:space="preserve"> the </w:t>
      </w:r>
      <w:proofErr w:type="spellStart"/>
      <w:r w:rsidR="00921806" w:rsidRPr="003E0CD3">
        <w:rPr>
          <w:rFonts w:ascii="Times" w:hAnsi="Times"/>
        </w:rPr>
        <w:t>subjectScheme</w:t>
      </w:r>
      <w:proofErr w:type="spellEnd"/>
      <w:r w:rsidR="00921806" w:rsidRPr="003E0CD3">
        <w:rPr>
          <w:rFonts w:ascii="Times" w:hAnsi="Times"/>
        </w:rPr>
        <w:t xml:space="preserve"> is an </w:t>
      </w:r>
      <w:proofErr w:type="spellStart"/>
      <w:r w:rsidR="00921806" w:rsidRPr="003E0CD3">
        <w:rPr>
          <w:rFonts w:ascii="Times" w:hAnsi="Times"/>
        </w:rPr>
        <w:t>InChKey</w:t>
      </w:r>
      <w:proofErr w:type="spellEnd"/>
      <w:r w:rsidR="00921806" w:rsidRPr="003E0CD3">
        <w:rPr>
          <w:rFonts w:ascii="Times" w:hAnsi="Times"/>
        </w:rPr>
        <w:t xml:space="preserve"> with the value KTOSDSJYNBIDCN-UHFFFAOYSA-N</w:t>
      </w:r>
      <w:r w:rsidR="00BC2F49">
        <w:rPr>
          <w:rFonts w:ascii="Times" w:hAnsi="Times"/>
        </w:rPr>
        <w:t xml:space="preserve"> </w:t>
      </w:r>
      <w:r w:rsidR="00BC2F49" w:rsidRPr="006E6BA2">
        <w:rPr>
          <w:rFonts w:ascii="Times" w:hAnsi="Times"/>
          <w:b/>
        </w:rPr>
        <w:t>AND</w:t>
      </w:r>
      <w:r w:rsidR="00BC2F49">
        <w:rPr>
          <w:rFonts w:ascii="Times" w:hAnsi="Times"/>
        </w:rPr>
        <w:t xml:space="preserve"> </w:t>
      </w:r>
      <w:r w:rsidR="006E6BA2">
        <w:rPr>
          <w:rFonts w:ascii="Times" w:hAnsi="Times"/>
        </w:rPr>
        <w:t>the</w:t>
      </w:r>
      <w:r w:rsidR="00BC2F49">
        <w:rPr>
          <w:rFonts w:ascii="Times" w:hAnsi="Times"/>
        </w:rPr>
        <w:t xml:space="preserve"> </w:t>
      </w:r>
      <w:proofErr w:type="spellStart"/>
      <w:r w:rsidR="00921806" w:rsidRPr="003E0CD3">
        <w:rPr>
          <w:rFonts w:ascii="Times" w:hAnsi="Times"/>
        </w:rPr>
        <w:t>subjectScheme</w:t>
      </w:r>
      <w:proofErr w:type="spellEnd"/>
      <w:r w:rsidR="00BC2F49">
        <w:rPr>
          <w:rFonts w:ascii="Times" w:hAnsi="Times"/>
        </w:rPr>
        <w:t xml:space="preserve"> is a</w:t>
      </w:r>
      <w:r w:rsidR="003F2A08" w:rsidRPr="003E0CD3">
        <w:rPr>
          <w:rFonts w:ascii="Times" w:hAnsi="Times"/>
        </w:rPr>
        <w:t xml:space="preserve"> </w:t>
      </w:r>
      <w:proofErr w:type="spellStart"/>
      <w:r w:rsidR="00921806" w:rsidRPr="003E0CD3">
        <w:rPr>
          <w:rFonts w:ascii="Times" w:hAnsi="Times"/>
        </w:rPr>
        <w:t>Gibbs_Energy</w:t>
      </w:r>
      <w:proofErr w:type="spellEnd"/>
      <w:r w:rsidR="00BC2F49">
        <w:rPr>
          <w:rFonts w:ascii="Times" w:hAnsi="Times"/>
        </w:rPr>
        <w:t xml:space="preserve"> </w:t>
      </w:r>
      <w:r w:rsidR="00921806" w:rsidRPr="003E0CD3">
        <w:rPr>
          <w:rFonts w:ascii="Times" w:hAnsi="Times"/>
        </w:rPr>
        <w:t>with the value -1082.980914”.</w:t>
      </w:r>
    </w:p>
    <w:p w14:paraId="28AE0309" w14:textId="36B729BE" w:rsidR="003F2A08" w:rsidRPr="003E0CD3" w:rsidRDefault="003F2A08" w:rsidP="00E71BCB">
      <w:pPr>
        <w:jc w:val="both"/>
        <w:rPr>
          <w:rFonts w:ascii="Times" w:hAnsi="Times"/>
        </w:rPr>
      </w:pPr>
    </w:p>
    <w:p w14:paraId="2BC91DB7" w14:textId="3572F29B" w:rsidR="003F2A08" w:rsidRPr="003E0CD3" w:rsidRDefault="003F2A08" w:rsidP="00E71BCB">
      <w:pPr>
        <w:jc w:val="both"/>
        <w:rPr>
          <w:rFonts w:ascii="Times" w:hAnsi="Times"/>
        </w:rPr>
      </w:pPr>
      <w:r w:rsidRPr="003E0CD3">
        <w:rPr>
          <w:rFonts w:ascii="Times" w:hAnsi="Times"/>
          <w:b/>
        </w:rPr>
        <w:t>Recommendations resulting from this discussion paper</w:t>
      </w:r>
      <w:r w:rsidRPr="003E0CD3">
        <w:rPr>
          <w:rFonts w:ascii="Times" w:hAnsi="Times"/>
        </w:rPr>
        <w:t>.</w:t>
      </w:r>
    </w:p>
    <w:p w14:paraId="15D1ECB1" w14:textId="3172079C" w:rsidR="003F2A08" w:rsidRPr="003E0CD3" w:rsidRDefault="003F2A08" w:rsidP="00E71BCB">
      <w:pPr>
        <w:jc w:val="both"/>
        <w:rPr>
          <w:rFonts w:ascii="Times" w:hAnsi="Times"/>
        </w:rPr>
      </w:pPr>
    </w:p>
    <w:p w14:paraId="7E9AC62F" w14:textId="2027440C" w:rsidR="003F2A08" w:rsidRPr="003E0CD3" w:rsidRDefault="003F2A08" w:rsidP="00E71BCB">
      <w:pPr>
        <w:jc w:val="both"/>
        <w:rPr>
          <w:rFonts w:ascii="Times" w:hAnsi="Times"/>
        </w:rPr>
      </w:pPr>
      <w:r w:rsidRPr="003E0CD3">
        <w:rPr>
          <w:rFonts w:ascii="Times" w:hAnsi="Times"/>
        </w:rPr>
        <w:t>In order to create a usable and consistent method of formulating search queries</w:t>
      </w:r>
      <w:r w:rsidR="00656B24" w:rsidRPr="003E0CD3">
        <w:rPr>
          <w:rFonts w:ascii="Times" w:hAnsi="Times"/>
        </w:rPr>
        <w:t xml:space="preserve"> for data</w:t>
      </w:r>
      <w:r w:rsidRPr="003E0CD3">
        <w:rPr>
          <w:rFonts w:ascii="Times" w:hAnsi="Times"/>
        </w:rPr>
        <w:t>, the subjectScheme dictionary has to be clearly defined</w:t>
      </w:r>
      <w:r w:rsidR="00C57173" w:rsidRPr="003E0CD3">
        <w:rPr>
          <w:rFonts w:ascii="Times" w:hAnsi="Times"/>
        </w:rPr>
        <w:t xml:space="preserve"> and potentially controlled</w:t>
      </w:r>
      <w:r w:rsidRPr="003E0CD3">
        <w:rPr>
          <w:rFonts w:ascii="Times" w:hAnsi="Times"/>
        </w:rPr>
        <w:t xml:space="preserve"> so that it can be used when registering metadata with DataCite. Currently, the following </w:t>
      </w:r>
      <w:proofErr w:type="spellStart"/>
      <w:r w:rsidRPr="003E0CD3">
        <w:rPr>
          <w:rFonts w:ascii="Times" w:hAnsi="Times"/>
        </w:rPr>
        <w:t>subjectSchemes</w:t>
      </w:r>
      <w:proofErr w:type="spellEnd"/>
      <w:r w:rsidRPr="003E0CD3">
        <w:rPr>
          <w:rFonts w:ascii="Times" w:hAnsi="Times"/>
        </w:rPr>
        <w:t xml:space="preserve"> have been implemented and tested (as in Scheme 2) on the pilot repository.</w:t>
      </w:r>
      <w:r w:rsidR="0093548E" w:rsidRPr="0093548E">
        <w:rPr>
          <w:rFonts w:ascii="Times" w:hAnsi="Times"/>
          <w:sz w:val="32"/>
          <w:szCs w:val="32"/>
          <w:vertAlign w:val="superscript"/>
        </w:rPr>
        <w:fldChar w:fldCharType="begin"/>
      </w:r>
      <w:r w:rsidR="0093548E" w:rsidRPr="0093548E">
        <w:rPr>
          <w:rFonts w:ascii="Times" w:hAnsi="Times"/>
          <w:sz w:val="32"/>
          <w:szCs w:val="32"/>
          <w:vertAlign w:val="superscript"/>
        </w:rPr>
        <w:instrText xml:space="preserve"> NOTEREF _Ref536195855 \h </w:instrText>
      </w:r>
      <w:r w:rsidR="0093548E" w:rsidRPr="0093548E">
        <w:rPr>
          <w:rFonts w:ascii="Times" w:hAnsi="Times"/>
          <w:sz w:val="32"/>
          <w:szCs w:val="32"/>
          <w:vertAlign w:val="superscript"/>
        </w:rPr>
      </w:r>
      <w:r w:rsidR="0093548E" w:rsidRPr="0093548E">
        <w:rPr>
          <w:rFonts w:ascii="Times" w:hAnsi="Times"/>
          <w:sz w:val="32"/>
          <w:szCs w:val="32"/>
          <w:vertAlign w:val="superscript"/>
        </w:rPr>
        <w:instrText xml:space="preserve"> \* MERGEFORMAT </w:instrText>
      </w:r>
      <w:r w:rsidR="0093548E" w:rsidRPr="0093548E">
        <w:rPr>
          <w:rFonts w:ascii="Times" w:hAnsi="Times"/>
          <w:sz w:val="32"/>
          <w:szCs w:val="32"/>
          <w:vertAlign w:val="superscript"/>
        </w:rPr>
        <w:fldChar w:fldCharType="separate"/>
      </w:r>
      <w:r w:rsidR="0093548E" w:rsidRPr="0093548E">
        <w:rPr>
          <w:rFonts w:ascii="Times" w:hAnsi="Times"/>
          <w:sz w:val="32"/>
          <w:szCs w:val="32"/>
          <w:vertAlign w:val="superscript"/>
        </w:rPr>
        <w:t>4</w:t>
      </w:r>
      <w:r w:rsidR="0093548E" w:rsidRPr="0093548E">
        <w:rPr>
          <w:rFonts w:ascii="Times" w:hAnsi="Times"/>
          <w:sz w:val="32"/>
          <w:szCs w:val="32"/>
          <w:vertAlign w:val="superscript"/>
        </w:rPr>
        <w:fldChar w:fldCharType="end"/>
      </w:r>
    </w:p>
    <w:p w14:paraId="5B268CCB" w14:textId="56119125" w:rsidR="003F2A08" w:rsidRPr="003E0CD3" w:rsidRDefault="003F2A08" w:rsidP="00E71BCB">
      <w:pPr>
        <w:pStyle w:val="ListParagraph"/>
        <w:numPr>
          <w:ilvl w:val="0"/>
          <w:numId w:val="1"/>
        </w:numPr>
        <w:jc w:val="both"/>
        <w:rPr>
          <w:rFonts w:ascii="Times" w:hAnsi="Times"/>
        </w:rPr>
      </w:pPr>
      <w:r w:rsidRPr="003E0CD3">
        <w:rPr>
          <w:rFonts w:ascii="Times" w:hAnsi="Times"/>
        </w:rPr>
        <w:t>InChI</w:t>
      </w:r>
    </w:p>
    <w:p w14:paraId="7AFA19C5" w14:textId="54273B38" w:rsidR="003F2A08" w:rsidRPr="003E0CD3" w:rsidRDefault="003F2A08" w:rsidP="00E71BCB">
      <w:pPr>
        <w:pStyle w:val="ListParagraph"/>
        <w:numPr>
          <w:ilvl w:val="0"/>
          <w:numId w:val="1"/>
        </w:numPr>
        <w:jc w:val="both"/>
        <w:rPr>
          <w:rFonts w:ascii="Times" w:hAnsi="Times"/>
        </w:rPr>
      </w:pPr>
      <w:r w:rsidRPr="003E0CD3">
        <w:rPr>
          <w:rFonts w:ascii="Times" w:hAnsi="Times"/>
        </w:rPr>
        <w:t>InChIKey</w:t>
      </w:r>
    </w:p>
    <w:p w14:paraId="0017B295" w14:textId="6F1941C8" w:rsidR="003F2A08" w:rsidRPr="003E0CD3" w:rsidRDefault="003F2A08" w:rsidP="00E71BCB">
      <w:pPr>
        <w:pStyle w:val="ListParagraph"/>
        <w:numPr>
          <w:ilvl w:val="0"/>
          <w:numId w:val="1"/>
        </w:numPr>
        <w:jc w:val="both"/>
        <w:rPr>
          <w:rFonts w:ascii="Times" w:hAnsi="Times"/>
        </w:rPr>
      </w:pPr>
      <w:proofErr w:type="spellStart"/>
      <w:r w:rsidRPr="003E0CD3">
        <w:rPr>
          <w:rFonts w:ascii="Times" w:hAnsi="Times"/>
        </w:rPr>
        <w:t>Gibbs_Energy</w:t>
      </w:r>
      <w:proofErr w:type="spellEnd"/>
    </w:p>
    <w:p w14:paraId="7729209F" w14:textId="6DD37399" w:rsidR="004C3DCA" w:rsidRPr="003E0CD3" w:rsidRDefault="003F2A08" w:rsidP="00E71BCB">
      <w:pPr>
        <w:jc w:val="both"/>
        <w:rPr>
          <w:rFonts w:ascii="Times" w:hAnsi="Times"/>
        </w:rPr>
      </w:pPr>
      <w:r w:rsidRPr="003E0CD3">
        <w:rPr>
          <w:rFonts w:ascii="Times" w:hAnsi="Times"/>
        </w:rPr>
        <w:t xml:space="preserve">The </w:t>
      </w:r>
      <w:r w:rsidR="00656B24" w:rsidRPr="003E0CD3">
        <w:rPr>
          <w:rFonts w:ascii="Times" w:hAnsi="Times"/>
        </w:rPr>
        <w:t xml:space="preserve">priority for the DataCite working party is to formulate an extended list of SubjectScheme values, together with suggested </w:t>
      </w:r>
      <w:r w:rsidR="003E0CD3">
        <w:rPr>
          <w:rFonts w:ascii="Times" w:hAnsi="Times"/>
        </w:rPr>
        <w:t>options</w:t>
      </w:r>
      <w:r w:rsidR="00656B24" w:rsidRPr="003E0CD3">
        <w:rPr>
          <w:rFonts w:ascii="Times" w:hAnsi="Times"/>
        </w:rPr>
        <w:t xml:space="preserve"> for the </w:t>
      </w:r>
      <w:proofErr w:type="spellStart"/>
      <w:r w:rsidR="00656B24" w:rsidRPr="003E0CD3">
        <w:rPr>
          <w:rFonts w:ascii="Times" w:hAnsi="Times"/>
        </w:rPr>
        <w:t>SchemeURI</w:t>
      </w:r>
      <w:proofErr w:type="spellEnd"/>
      <w:r w:rsidR="00656B24" w:rsidRPr="003E0CD3">
        <w:rPr>
          <w:rFonts w:ascii="Times" w:hAnsi="Times"/>
        </w:rPr>
        <w:t xml:space="preserve"> and </w:t>
      </w:r>
      <w:proofErr w:type="spellStart"/>
      <w:r w:rsidR="00656B24" w:rsidRPr="003E0CD3">
        <w:rPr>
          <w:rFonts w:ascii="Times" w:hAnsi="Times"/>
        </w:rPr>
        <w:t>valueURI</w:t>
      </w:r>
      <w:proofErr w:type="spellEnd"/>
      <w:r w:rsidR="00656B24" w:rsidRPr="003E0CD3">
        <w:rPr>
          <w:rFonts w:ascii="Times" w:hAnsi="Times"/>
        </w:rPr>
        <w:t xml:space="preserve"> (if needed),</w:t>
      </w:r>
      <w:r w:rsidR="006E6BA2">
        <w:rPr>
          <w:rFonts w:ascii="Times" w:hAnsi="Times"/>
        </w:rPr>
        <w:t xml:space="preserve"> both specified</w:t>
      </w:r>
      <w:r w:rsidR="00656B24" w:rsidRPr="003E0CD3">
        <w:rPr>
          <w:rFonts w:ascii="Times" w:hAnsi="Times"/>
        </w:rPr>
        <w:t xml:space="preserve"> if possible as</w:t>
      </w:r>
      <w:r w:rsidR="003E0CD3">
        <w:rPr>
          <w:rFonts w:ascii="Times" w:hAnsi="Times"/>
        </w:rPr>
        <w:t xml:space="preserve"> </w:t>
      </w:r>
      <w:r w:rsidR="00656B24" w:rsidRPr="003E0CD3">
        <w:rPr>
          <w:rFonts w:ascii="Times" w:hAnsi="Times"/>
        </w:rPr>
        <w:t>PIDs.</w:t>
      </w:r>
      <w:r w:rsidR="003E0CD3">
        <w:rPr>
          <w:rFonts w:ascii="Times" w:hAnsi="Times"/>
        </w:rPr>
        <w:t xml:space="preserve"> </w:t>
      </w:r>
      <w:r w:rsidR="00656B24" w:rsidRPr="003E0CD3">
        <w:rPr>
          <w:rFonts w:ascii="Times" w:hAnsi="Times"/>
        </w:rPr>
        <w:t xml:space="preserve">To facilitate implementation in the pilot data repository, the list should probably in </w:t>
      </w:r>
      <w:r w:rsidR="00C57173" w:rsidRPr="003E0CD3">
        <w:rPr>
          <w:rFonts w:ascii="Times" w:hAnsi="Times"/>
        </w:rPr>
        <w:t>the initial recommendation</w:t>
      </w:r>
      <w:r w:rsidR="00656B24" w:rsidRPr="003E0CD3">
        <w:rPr>
          <w:rFonts w:ascii="Times" w:hAnsi="Times"/>
        </w:rPr>
        <w:t xml:space="preserve"> be limited to a small number (~10-20).</w:t>
      </w:r>
      <w:r w:rsidR="003E0CD3">
        <w:rPr>
          <w:rFonts w:ascii="Times" w:hAnsi="Times"/>
        </w:rPr>
        <w:t xml:space="preserve"> </w:t>
      </w:r>
    </w:p>
    <w:p w14:paraId="39280F6A" w14:textId="77777777" w:rsidR="004C3DCA" w:rsidRPr="003E0CD3" w:rsidRDefault="004C3DCA" w:rsidP="00E71BCB">
      <w:pPr>
        <w:jc w:val="both"/>
        <w:rPr>
          <w:rFonts w:ascii="Times" w:hAnsi="Times"/>
        </w:rPr>
      </w:pPr>
    </w:p>
    <w:p w14:paraId="36FD872C" w14:textId="6BFA6930" w:rsidR="003F2A08" w:rsidRPr="003E0CD3" w:rsidRDefault="00656B24" w:rsidP="00E71BCB">
      <w:pPr>
        <w:jc w:val="both"/>
        <w:rPr>
          <w:rFonts w:ascii="Times" w:hAnsi="Times"/>
        </w:rPr>
      </w:pPr>
      <w:r w:rsidRPr="003E0CD3">
        <w:rPr>
          <w:rFonts w:ascii="Times" w:hAnsi="Times"/>
        </w:rPr>
        <w:t>Organisation around specific types of dataset is probably desirable.</w:t>
      </w:r>
      <w:r w:rsidR="003E0CD3">
        <w:rPr>
          <w:rFonts w:ascii="Times" w:hAnsi="Times"/>
        </w:rPr>
        <w:t xml:space="preserve"> </w:t>
      </w:r>
      <w:r w:rsidRPr="003E0CD3">
        <w:rPr>
          <w:rFonts w:ascii="Times" w:hAnsi="Times"/>
        </w:rPr>
        <w:t>In the first instance,</w:t>
      </w:r>
      <w:r w:rsidR="003E0CD3">
        <w:rPr>
          <w:rFonts w:ascii="Times" w:hAnsi="Times"/>
        </w:rPr>
        <w:t xml:space="preserve"> </w:t>
      </w:r>
      <w:r w:rsidRPr="003E0CD3">
        <w:rPr>
          <w:rFonts w:ascii="Times" w:hAnsi="Times"/>
        </w:rPr>
        <w:t>it is suggested that</w:t>
      </w:r>
      <w:r w:rsidR="003E0CD3">
        <w:rPr>
          <w:rFonts w:ascii="Times" w:hAnsi="Times"/>
        </w:rPr>
        <w:t xml:space="preserve"> </w:t>
      </w:r>
      <w:r w:rsidRPr="003E0CD3">
        <w:rPr>
          <w:rFonts w:ascii="Times" w:hAnsi="Times"/>
        </w:rPr>
        <w:t>NMR datasets be explored</w:t>
      </w:r>
      <w:r w:rsidR="007B5485" w:rsidRPr="003E0CD3">
        <w:rPr>
          <w:rFonts w:ascii="Times" w:hAnsi="Times"/>
        </w:rPr>
        <w:t xml:space="preserve"> (Table 1).</w:t>
      </w:r>
    </w:p>
    <w:p w14:paraId="02EA6E33" w14:textId="769257AA" w:rsidR="007B5485" w:rsidRPr="003E0CD3" w:rsidRDefault="007B5485" w:rsidP="00E71BCB">
      <w:pPr>
        <w:jc w:val="both"/>
        <w:rPr>
          <w:rFonts w:ascii="Times" w:hAnsi="Times"/>
        </w:rPr>
      </w:pPr>
    </w:p>
    <w:p w14:paraId="673A1D5A" w14:textId="409BF69D" w:rsidR="007B5485" w:rsidRPr="003E0CD3" w:rsidRDefault="007B5485" w:rsidP="00E71BCB">
      <w:pPr>
        <w:jc w:val="both"/>
        <w:rPr>
          <w:rFonts w:ascii="Times" w:hAnsi="Times"/>
        </w:rPr>
      </w:pPr>
      <w:r w:rsidRPr="00E71BCB">
        <w:rPr>
          <w:rFonts w:ascii="Times" w:hAnsi="Times"/>
          <w:b/>
        </w:rPr>
        <w:t>Table 1.</w:t>
      </w:r>
      <w:r w:rsidR="003E0CD3">
        <w:rPr>
          <w:rFonts w:ascii="Times" w:hAnsi="Times"/>
        </w:rPr>
        <w:t xml:space="preserve"> </w:t>
      </w:r>
      <w:r w:rsidRPr="003E0CD3">
        <w:rPr>
          <w:rFonts w:ascii="Times" w:hAnsi="Times"/>
        </w:rPr>
        <w:t>Suggestions for Subject extensions in the domain of</w:t>
      </w:r>
      <w:r w:rsidR="003E0CD3">
        <w:rPr>
          <w:rFonts w:ascii="Times" w:hAnsi="Times"/>
        </w:rPr>
        <w:t xml:space="preserve"> </w:t>
      </w:r>
      <w:r w:rsidRPr="003E0CD3">
        <w:rPr>
          <w:rFonts w:ascii="Times" w:hAnsi="Times"/>
        </w:rPr>
        <w:t>NMR spectroscopy.</w:t>
      </w:r>
    </w:p>
    <w:p w14:paraId="1159C8C5" w14:textId="1E537AFB" w:rsidR="00656B24" w:rsidRPr="009010A7" w:rsidRDefault="00656B24" w:rsidP="00E71BCB">
      <w:pPr>
        <w:pStyle w:val="ListParagraph"/>
        <w:numPr>
          <w:ilvl w:val="0"/>
          <w:numId w:val="2"/>
        </w:numPr>
        <w:jc w:val="both"/>
        <w:rPr>
          <w:rFonts w:ascii="Times" w:hAnsi="Times"/>
          <w:highlight w:val="yellow"/>
        </w:rPr>
      </w:pPr>
      <w:proofErr w:type="spellStart"/>
      <w:r w:rsidRPr="009010A7">
        <w:rPr>
          <w:rFonts w:ascii="Times" w:hAnsi="Times"/>
          <w:highlight w:val="yellow"/>
        </w:rPr>
        <w:lastRenderedPageBreak/>
        <w:t>NMR</w:t>
      </w:r>
      <w:r w:rsidR="00324343" w:rsidRPr="009010A7">
        <w:rPr>
          <w:rFonts w:ascii="Times" w:hAnsi="Times"/>
          <w:highlight w:val="yellow"/>
        </w:rPr>
        <w:t>_</w:t>
      </w:r>
      <w:r w:rsidRPr="009010A7">
        <w:rPr>
          <w:rFonts w:ascii="Times" w:hAnsi="Times"/>
          <w:highlight w:val="yellow"/>
        </w:rPr>
        <w:t>Nucleus</w:t>
      </w:r>
      <w:proofErr w:type="spellEnd"/>
      <w:r w:rsidR="00BC2F49" w:rsidRPr="009010A7">
        <w:rPr>
          <w:rFonts w:ascii="Times" w:hAnsi="Times"/>
          <w:highlight w:val="yellow"/>
        </w:rPr>
        <w:t xml:space="preserve"> (a controll</w:t>
      </w:r>
      <w:r w:rsidR="009B37E7" w:rsidRPr="009010A7">
        <w:rPr>
          <w:rFonts w:ascii="Times" w:hAnsi="Times"/>
          <w:highlight w:val="yellow"/>
        </w:rPr>
        <w:t>able</w:t>
      </w:r>
      <w:r w:rsidR="00BC2F49" w:rsidRPr="009010A7">
        <w:rPr>
          <w:rFonts w:ascii="Times" w:hAnsi="Times"/>
          <w:highlight w:val="yellow"/>
        </w:rPr>
        <w:t xml:space="preserve"> list)</w:t>
      </w:r>
    </w:p>
    <w:p w14:paraId="74403C59" w14:textId="6AE43F53" w:rsidR="00656B24" w:rsidRPr="009010A7" w:rsidRDefault="005627F9" w:rsidP="00E71BCB">
      <w:pPr>
        <w:pStyle w:val="ListParagraph"/>
        <w:numPr>
          <w:ilvl w:val="0"/>
          <w:numId w:val="2"/>
        </w:numPr>
        <w:jc w:val="both"/>
        <w:rPr>
          <w:rFonts w:ascii="Times" w:hAnsi="Times"/>
          <w:highlight w:val="yellow"/>
        </w:rPr>
      </w:pPr>
      <w:proofErr w:type="spellStart"/>
      <w:r w:rsidRPr="009010A7">
        <w:rPr>
          <w:rFonts w:ascii="Times" w:hAnsi="Times"/>
          <w:highlight w:val="yellow"/>
        </w:rPr>
        <w:t>NMR</w:t>
      </w:r>
      <w:r w:rsidR="00324343" w:rsidRPr="009010A7">
        <w:rPr>
          <w:rFonts w:ascii="Times" w:hAnsi="Times"/>
          <w:highlight w:val="yellow"/>
        </w:rPr>
        <w:t>_</w:t>
      </w:r>
      <w:r w:rsidRPr="009010A7">
        <w:rPr>
          <w:rFonts w:ascii="Times" w:hAnsi="Times"/>
          <w:highlight w:val="yellow"/>
        </w:rPr>
        <w:t>Pulse</w:t>
      </w:r>
      <w:proofErr w:type="spellEnd"/>
      <w:r w:rsidRPr="009010A7">
        <w:rPr>
          <w:rFonts w:ascii="Times" w:hAnsi="Times"/>
          <w:highlight w:val="yellow"/>
        </w:rPr>
        <w:t xml:space="preserve"> sequence</w:t>
      </w:r>
      <w:r w:rsidR="00BC2F49" w:rsidRPr="009010A7">
        <w:rPr>
          <w:rFonts w:ascii="Times" w:hAnsi="Times"/>
          <w:highlight w:val="yellow"/>
        </w:rPr>
        <w:t xml:space="preserve"> (should this be controlled?)</w:t>
      </w:r>
    </w:p>
    <w:p w14:paraId="141B9A7E" w14:textId="261BD092" w:rsidR="005627F9" w:rsidRPr="009010A7" w:rsidRDefault="005627F9" w:rsidP="00E71BCB">
      <w:pPr>
        <w:pStyle w:val="ListParagraph"/>
        <w:numPr>
          <w:ilvl w:val="0"/>
          <w:numId w:val="2"/>
        </w:numPr>
        <w:jc w:val="both"/>
        <w:rPr>
          <w:rFonts w:ascii="Times" w:hAnsi="Times"/>
          <w:highlight w:val="yellow"/>
        </w:rPr>
      </w:pPr>
      <w:proofErr w:type="spellStart"/>
      <w:r w:rsidRPr="009010A7">
        <w:rPr>
          <w:rFonts w:ascii="Times" w:hAnsi="Times"/>
          <w:highlight w:val="yellow"/>
        </w:rPr>
        <w:t>NMR</w:t>
      </w:r>
      <w:r w:rsidR="00324343" w:rsidRPr="009010A7">
        <w:rPr>
          <w:rFonts w:ascii="Times" w:hAnsi="Times"/>
          <w:highlight w:val="yellow"/>
        </w:rPr>
        <w:t>_</w:t>
      </w:r>
      <w:r w:rsidRPr="009010A7">
        <w:rPr>
          <w:rFonts w:ascii="Times" w:hAnsi="Times"/>
          <w:highlight w:val="yellow"/>
        </w:rPr>
        <w:t>Solvent</w:t>
      </w:r>
      <w:proofErr w:type="spellEnd"/>
      <w:r w:rsidR="00BC2F49" w:rsidRPr="009010A7">
        <w:rPr>
          <w:rFonts w:ascii="Times" w:hAnsi="Times"/>
          <w:highlight w:val="yellow"/>
        </w:rPr>
        <w:t xml:space="preserve"> (should this be controlled?)</w:t>
      </w:r>
    </w:p>
    <w:p w14:paraId="6886EE20" w14:textId="42CB8B8A" w:rsidR="00E71BCB" w:rsidRPr="009010A7" w:rsidRDefault="00BC2F49" w:rsidP="00E71BCB">
      <w:pPr>
        <w:pStyle w:val="ListParagraph"/>
        <w:numPr>
          <w:ilvl w:val="0"/>
          <w:numId w:val="2"/>
        </w:numPr>
        <w:jc w:val="both"/>
        <w:rPr>
          <w:rFonts w:ascii="Times" w:hAnsi="Times"/>
          <w:highlight w:val="yellow"/>
        </w:rPr>
      </w:pPr>
      <w:proofErr w:type="spellStart"/>
      <w:r w:rsidRPr="009010A7">
        <w:rPr>
          <w:rFonts w:ascii="Times" w:hAnsi="Times"/>
          <w:highlight w:val="yellow"/>
        </w:rPr>
        <w:t>NMR</w:t>
      </w:r>
      <w:r w:rsidR="00324343" w:rsidRPr="009010A7">
        <w:rPr>
          <w:rFonts w:ascii="Times" w:hAnsi="Times"/>
          <w:highlight w:val="yellow"/>
        </w:rPr>
        <w:t>_</w:t>
      </w:r>
      <w:r w:rsidRPr="009010A7">
        <w:rPr>
          <w:rFonts w:ascii="Times" w:hAnsi="Times"/>
          <w:highlight w:val="yellow"/>
        </w:rPr>
        <w:t>temperature</w:t>
      </w:r>
      <w:proofErr w:type="spellEnd"/>
      <w:r w:rsidRPr="009010A7">
        <w:rPr>
          <w:rFonts w:ascii="Times" w:hAnsi="Times"/>
          <w:highlight w:val="yellow"/>
        </w:rPr>
        <w:t xml:space="preserve"> (a numerical value</w:t>
      </w:r>
      <w:r w:rsidR="00CF54B7" w:rsidRPr="009010A7">
        <w:rPr>
          <w:rFonts w:ascii="Times" w:hAnsi="Times"/>
          <w:highlight w:val="yellow"/>
        </w:rPr>
        <w:t>, but declaring units requires schema additions</w:t>
      </w:r>
      <w:r w:rsidRPr="009010A7">
        <w:rPr>
          <w:rFonts w:ascii="Times" w:hAnsi="Times"/>
          <w:highlight w:val="yellow"/>
        </w:rPr>
        <w:t>)</w:t>
      </w:r>
    </w:p>
    <w:p w14:paraId="7AD00549" w14:textId="7BD4B95E" w:rsidR="00B948A1" w:rsidRDefault="00B948A1" w:rsidP="00E71BCB">
      <w:pPr>
        <w:jc w:val="both"/>
        <w:rPr>
          <w:rFonts w:ascii="Times" w:hAnsi="Times"/>
          <w:b/>
        </w:rPr>
      </w:pPr>
    </w:p>
    <w:p w14:paraId="51C2E1B2" w14:textId="1AEBA164" w:rsidR="00087514" w:rsidRPr="00C112C9" w:rsidRDefault="00C112C9" w:rsidP="00C112C9">
      <w:r w:rsidRPr="00C112C9">
        <w:rPr>
          <w:rFonts w:ascii="Times" w:hAnsi="Times"/>
        </w:rPr>
        <w:t xml:space="preserve">A </w:t>
      </w:r>
      <w:proofErr w:type="spellStart"/>
      <w:r w:rsidR="00087514" w:rsidRPr="00C112C9">
        <w:rPr>
          <w:rFonts w:ascii="Times" w:hAnsi="Times"/>
        </w:rPr>
        <w:t>SchemeURI</w:t>
      </w:r>
      <w:proofErr w:type="spellEnd"/>
      <w:r w:rsidR="00087514" w:rsidRPr="00C112C9">
        <w:rPr>
          <w:rFonts w:ascii="Times" w:hAnsi="Times"/>
        </w:rPr>
        <w:t xml:space="preserve"> </w:t>
      </w:r>
      <w:r w:rsidRPr="00C112C9">
        <w:rPr>
          <w:rFonts w:ascii="Times" w:hAnsi="Times"/>
        </w:rPr>
        <w:t xml:space="preserve">is suggested as </w:t>
      </w:r>
      <w:hyperlink r:id="rId9" w:history="1">
        <w:r w:rsidRPr="00C112C9">
          <w:rPr>
            <w:rStyle w:val="Hyperlink"/>
            <w:rFonts w:ascii="Helvetica Neue" w:hAnsi="Helvetica Neue"/>
            <w:color w:val="auto"/>
            <w:sz w:val="23"/>
            <w:szCs w:val="23"/>
            <w:bdr w:val="none" w:sz="0" w:space="0" w:color="auto" w:frame="1"/>
          </w:rPr>
          <w:t>10.14469/</w:t>
        </w:r>
        <w:proofErr w:type="spellStart"/>
        <w:r w:rsidRPr="00C112C9">
          <w:rPr>
            <w:rStyle w:val="Hyperlink"/>
            <w:rFonts w:ascii="Helvetica Neue" w:hAnsi="Helvetica Neue"/>
            <w:color w:val="auto"/>
            <w:sz w:val="23"/>
            <w:szCs w:val="23"/>
            <w:bdr w:val="none" w:sz="0" w:space="0" w:color="auto" w:frame="1"/>
          </w:rPr>
          <w:t>hpc</w:t>
        </w:r>
        <w:proofErr w:type="spellEnd"/>
        <w:r w:rsidRPr="00C112C9">
          <w:rPr>
            <w:rStyle w:val="Hyperlink"/>
            <w:rFonts w:ascii="Helvetica Neue" w:hAnsi="Helvetica Neue"/>
            <w:color w:val="auto"/>
            <w:sz w:val="23"/>
            <w:szCs w:val="23"/>
            <w:bdr w:val="none" w:sz="0" w:space="0" w:color="auto" w:frame="1"/>
          </w:rPr>
          <w:t>/4739</w:t>
        </w:r>
      </w:hyperlink>
      <w:r w:rsidRPr="00C112C9">
        <w:t xml:space="preserve"> which is extensible depending on need. </w:t>
      </w:r>
      <w:r w:rsidR="00087514" w:rsidRPr="00C112C9">
        <w:rPr>
          <w:rFonts w:ascii="Times" w:hAnsi="Times"/>
        </w:rPr>
        <w:t xml:space="preserve">The IUPAC </w:t>
      </w:r>
      <w:proofErr w:type="spellStart"/>
      <w:r w:rsidR="00087514" w:rsidRPr="00C112C9">
        <w:rPr>
          <w:rFonts w:ascii="Times" w:hAnsi="Times"/>
        </w:rPr>
        <w:t>Goldbook</w:t>
      </w:r>
      <w:proofErr w:type="spellEnd"/>
      <w:r w:rsidR="00087514" w:rsidRPr="00C112C9">
        <w:rPr>
          <w:rFonts w:ascii="Times" w:hAnsi="Times"/>
        </w:rPr>
        <w:t xml:space="preserve"> only has an </w:t>
      </w:r>
      <w:r w:rsidR="00D8632A" w:rsidRPr="00C112C9">
        <w:rPr>
          <w:rFonts w:ascii="Times" w:hAnsi="Times"/>
        </w:rPr>
        <w:t xml:space="preserve">NMR </w:t>
      </w:r>
      <w:r w:rsidR="00087514" w:rsidRPr="00C112C9">
        <w:rPr>
          <w:rFonts w:ascii="Times" w:hAnsi="Times"/>
        </w:rPr>
        <w:t xml:space="preserve">entry </w:t>
      </w:r>
      <w:r w:rsidRPr="00C112C9">
        <w:rPr>
          <w:rFonts w:ascii="Times" w:hAnsi="Times"/>
        </w:rPr>
        <w:t>(</w:t>
      </w:r>
      <w:hyperlink r:id="rId10" w:history="1">
        <w:r w:rsidRPr="00C112C9">
          <w:rPr>
            <w:rStyle w:val="Hyperlink"/>
            <w:rFonts w:ascii="Times" w:hAnsi="Times"/>
            <w:color w:val="auto"/>
          </w:rPr>
          <w:t>10.1351/goldbook.C01036</w:t>
        </w:r>
      </w:hyperlink>
      <w:r w:rsidR="0093548E">
        <w:rPr>
          <w:rStyle w:val="Hyperlink"/>
          <w:rFonts w:ascii="Times" w:hAnsi="Times"/>
          <w:color w:val="auto"/>
        </w:rPr>
        <w:t>,</w:t>
      </w:r>
      <w:r w:rsidR="0093548E" w:rsidRPr="00C112C9">
        <w:rPr>
          <w:rFonts w:ascii="Times" w:hAnsi="Times"/>
        </w:rPr>
        <w:t xml:space="preserve"> Chemical Shift</w:t>
      </w:r>
      <w:r w:rsidRPr="00C112C9">
        <w:rPr>
          <w:rFonts w:ascii="Times" w:hAnsi="Times"/>
        </w:rPr>
        <w:t>) which may be too limited for our needs.</w:t>
      </w:r>
    </w:p>
    <w:p w14:paraId="2AD83C5E" w14:textId="40853805" w:rsidR="00087514" w:rsidRDefault="00087514" w:rsidP="00E71BCB">
      <w:pPr>
        <w:jc w:val="both"/>
        <w:rPr>
          <w:rFonts w:ascii="Times" w:hAnsi="Times"/>
          <w:b/>
        </w:rPr>
      </w:pPr>
      <w:r>
        <w:rPr>
          <w:rFonts w:ascii="Times" w:hAnsi="Times"/>
        </w:rPr>
        <w:t xml:space="preserve"> </w:t>
      </w:r>
    </w:p>
    <w:p w14:paraId="39DE07DE" w14:textId="10572917" w:rsidR="00BC2F49" w:rsidRPr="00BC2F49" w:rsidRDefault="00BC2F49" w:rsidP="00E71BCB">
      <w:pPr>
        <w:jc w:val="both"/>
        <w:rPr>
          <w:rFonts w:ascii="Times" w:hAnsi="Times"/>
          <w:b/>
        </w:rPr>
      </w:pPr>
      <w:r w:rsidRPr="00BC2F49">
        <w:rPr>
          <w:rFonts w:ascii="Times" w:hAnsi="Times"/>
          <w:b/>
        </w:rPr>
        <w:t>Workflows</w:t>
      </w:r>
    </w:p>
    <w:p w14:paraId="68935DE8" w14:textId="77777777" w:rsidR="00BC2F49" w:rsidRDefault="00BC2F49" w:rsidP="00E71BCB">
      <w:pPr>
        <w:jc w:val="both"/>
        <w:rPr>
          <w:rFonts w:ascii="Times" w:hAnsi="Times"/>
        </w:rPr>
      </w:pPr>
    </w:p>
    <w:p w14:paraId="6C35E450" w14:textId="77777777" w:rsidR="006A7DFA" w:rsidRDefault="005627F9" w:rsidP="00E71BCB">
      <w:pPr>
        <w:jc w:val="both"/>
        <w:rPr>
          <w:rFonts w:ascii="Times" w:hAnsi="Times"/>
        </w:rPr>
      </w:pPr>
      <w:r w:rsidRPr="003E0CD3">
        <w:rPr>
          <w:rFonts w:ascii="Times" w:hAnsi="Times"/>
        </w:rPr>
        <w:t xml:space="preserve">For each recommended subjectScheme value, recommendations on how an automated workflow can be constructed </w:t>
      </w:r>
      <w:r w:rsidR="007251FA" w:rsidRPr="003E0CD3">
        <w:rPr>
          <w:rFonts w:ascii="Times" w:hAnsi="Times"/>
        </w:rPr>
        <w:t>should be</w:t>
      </w:r>
      <w:r w:rsidRPr="003E0CD3">
        <w:rPr>
          <w:rFonts w:ascii="Times" w:hAnsi="Times"/>
        </w:rPr>
        <w:t xml:space="preserve"> suggested</w:t>
      </w:r>
      <w:r w:rsidR="00A34016">
        <w:rPr>
          <w:rFonts w:ascii="Times" w:hAnsi="Times"/>
        </w:rPr>
        <w:t xml:space="preserve"> and ideally implemented in the testbed.</w:t>
      </w:r>
      <w:r w:rsidR="003E0CD3">
        <w:rPr>
          <w:rFonts w:ascii="Times" w:hAnsi="Times"/>
        </w:rPr>
        <w:t xml:space="preserve"> </w:t>
      </w:r>
      <w:r w:rsidRPr="003E0CD3">
        <w:rPr>
          <w:rFonts w:ascii="Times" w:hAnsi="Times"/>
        </w:rPr>
        <w:t xml:space="preserve">For example, the </w:t>
      </w:r>
      <w:r w:rsidR="00A34016">
        <w:rPr>
          <w:rFonts w:ascii="Times" w:hAnsi="Times"/>
        </w:rPr>
        <w:t xml:space="preserve">existing </w:t>
      </w:r>
      <w:r w:rsidRPr="003E0CD3">
        <w:rPr>
          <w:rFonts w:ascii="Times" w:hAnsi="Times"/>
        </w:rPr>
        <w:t>workflow for InChI and InChIkey incorporated the opensource OpenBabel tool, which parses all uploaded datasets for identifiable molecular connection tables and derives the InChI string or key from them. For this purpose, at least one of the uploaded files has to contain this information</w:t>
      </w:r>
      <w:r w:rsidR="005B4AEE" w:rsidRPr="003E0CD3">
        <w:rPr>
          <w:rFonts w:ascii="Times" w:hAnsi="Times"/>
        </w:rPr>
        <w:t>. W</w:t>
      </w:r>
      <w:r w:rsidRPr="003E0CD3">
        <w:rPr>
          <w:rFonts w:ascii="Times" w:hAnsi="Times"/>
        </w:rPr>
        <w:t>e currently</w:t>
      </w:r>
      <w:r w:rsidR="005B4AEE" w:rsidRPr="003E0CD3">
        <w:rPr>
          <w:rFonts w:ascii="Times" w:hAnsi="Times"/>
        </w:rPr>
        <w:t xml:space="preserve"> recommend use of</w:t>
      </w:r>
      <w:r w:rsidRPr="003E0CD3">
        <w:rPr>
          <w:rFonts w:ascii="Times" w:hAnsi="Times"/>
        </w:rPr>
        <w:t xml:space="preserve"> either a MDL </w:t>
      </w:r>
      <w:proofErr w:type="spellStart"/>
      <w:r w:rsidRPr="003E0CD3">
        <w:rPr>
          <w:rFonts w:ascii="Times" w:hAnsi="Times"/>
        </w:rPr>
        <w:t>molfile</w:t>
      </w:r>
      <w:proofErr w:type="spellEnd"/>
      <w:r w:rsidRPr="003E0CD3">
        <w:rPr>
          <w:rFonts w:ascii="Times" w:hAnsi="Times"/>
        </w:rPr>
        <w:t xml:space="preserve"> or a </w:t>
      </w:r>
      <w:proofErr w:type="spellStart"/>
      <w:r w:rsidRPr="003E0CD3">
        <w:rPr>
          <w:rFonts w:ascii="Times" w:hAnsi="Times"/>
        </w:rPr>
        <w:t>Chemdraw</w:t>
      </w:r>
      <w:proofErr w:type="spellEnd"/>
      <w:proofErr w:type="gramStart"/>
      <w:r w:rsidRPr="003E0CD3">
        <w:rPr>
          <w:rFonts w:ascii="Times" w:hAnsi="Times"/>
        </w:rPr>
        <w:t xml:space="preserve"> ..</w:t>
      </w:r>
      <w:proofErr w:type="spellStart"/>
      <w:proofErr w:type="gramEnd"/>
      <w:r w:rsidRPr="003E0CD3">
        <w:rPr>
          <w:rFonts w:ascii="Times" w:hAnsi="Times"/>
        </w:rPr>
        <w:t>cdxml</w:t>
      </w:r>
      <w:proofErr w:type="spellEnd"/>
      <w:r w:rsidRPr="003E0CD3">
        <w:rPr>
          <w:rFonts w:ascii="Times" w:hAnsi="Times"/>
        </w:rPr>
        <w:t xml:space="preserve"> file for this purpose.</w:t>
      </w:r>
      <w:r w:rsidR="004C3DCA" w:rsidRPr="003E0CD3">
        <w:rPr>
          <w:rFonts w:ascii="Times" w:hAnsi="Times"/>
        </w:rPr>
        <w:t xml:space="preserve"> </w:t>
      </w:r>
      <w:r w:rsidR="00A34016">
        <w:rPr>
          <w:rFonts w:ascii="Times" w:hAnsi="Times"/>
        </w:rPr>
        <w:t xml:space="preserve">For </w:t>
      </w:r>
      <w:proofErr w:type="spellStart"/>
      <w:r w:rsidR="00A34016">
        <w:rPr>
          <w:rFonts w:ascii="Times" w:hAnsi="Times"/>
        </w:rPr>
        <w:t>Gibbs_Energy</w:t>
      </w:r>
      <w:proofErr w:type="spellEnd"/>
      <w:r w:rsidR="00A34016">
        <w:rPr>
          <w:rFonts w:ascii="Times" w:hAnsi="Times"/>
        </w:rPr>
        <w:t xml:space="preserve"> it is a simple regular expression parser for the term in the</w:t>
      </w:r>
      <w:r w:rsidR="00B72F88">
        <w:rPr>
          <w:rFonts w:ascii="Times" w:hAnsi="Times"/>
        </w:rPr>
        <w:t xml:space="preserve"> </w:t>
      </w:r>
      <w:r w:rsidR="00A34016">
        <w:rPr>
          <w:rFonts w:ascii="Times" w:hAnsi="Times"/>
        </w:rPr>
        <w:t xml:space="preserve">Gaussian output log. </w:t>
      </w:r>
    </w:p>
    <w:p w14:paraId="00CDB886" w14:textId="77777777" w:rsidR="006A7DFA" w:rsidRDefault="006A7DFA" w:rsidP="00E71BCB">
      <w:pPr>
        <w:jc w:val="both"/>
        <w:rPr>
          <w:rFonts w:ascii="Times" w:hAnsi="Times"/>
        </w:rPr>
      </w:pPr>
    </w:p>
    <w:p w14:paraId="3E0D2224" w14:textId="10D78C7E" w:rsidR="005627F9" w:rsidRPr="003E0CD3" w:rsidRDefault="004C3DCA" w:rsidP="00E71BCB">
      <w:pPr>
        <w:jc w:val="both"/>
        <w:rPr>
          <w:rFonts w:ascii="Times" w:hAnsi="Times"/>
        </w:rPr>
      </w:pPr>
      <w:r w:rsidRPr="003E0CD3">
        <w:rPr>
          <w:rFonts w:ascii="Times" w:hAnsi="Times"/>
        </w:rPr>
        <w:t xml:space="preserve">For NMR data, </w:t>
      </w:r>
      <w:proofErr w:type="spellStart"/>
      <w:r w:rsidR="00324343">
        <w:rPr>
          <w:rFonts w:ascii="Times" w:hAnsi="Times"/>
        </w:rPr>
        <w:t>MestreLabs</w:t>
      </w:r>
      <w:proofErr w:type="spellEnd"/>
      <w:r w:rsidR="00324343">
        <w:rPr>
          <w:rFonts w:ascii="Times" w:hAnsi="Times"/>
        </w:rPr>
        <w:t xml:space="preserve"> have kindly offered a </w:t>
      </w:r>
      <w:r w:rsidRPr="003E0CD3">
        <w:rPr>
          <w:rFonts w:ascii="Times" w:hAnsi="Times"/>
        </w:rPr>
        <w:t xml:space="preserve"> tool based on</w:t>
      </w:r>
      <w:r w:rsidR="00A34016">
        <w:rPr>
          <w:rFonts w:ascii="Times" w:hAnsi="Times"/>
        </w:rPr>
        <w:t xml:space="preserve"> existing NMR processing </w:t>
      </w:r>
      <w:r w:rsidR="00324343">
        <w:rPr>
          <w:rFonts w:ascii="Times" w:hAnsi="Times"/>
        </w:rPr>
        <w:t>software,</w:t>
      </w:r>
      <w:r w:rsidR="006A7DFA">
        <w:rPr>
          <w:rFonts w:ascii="Times" w:hAnsi="Times"/>
          <w:i/>
        </w:rPr>
        <w:t xml:space="preserve"> </w:t>
      </w:r>
      <w:proofErr w:type="spellStart"/>
      <w:r w:rsidRPr="003E0CD3">
        <w:rPr>
          <w:rFonts w:ascii="Times" w:hAnsi="Times"/>
        </w:rPr>
        <w:t>MestreNova</w:t>
      </w:r>
      <w:proofErr w:type="spellEnd"/>
      <w:r w:rsidR="00A34016">
        <w:rPr>
          <w:rFonts w:ascii="Times" w:hAnsi="Times"/>
        </w:rPr>
        <w:t xml:space="preserve"> </w:t>
      </w:r>
      <w:r w:rsidR="00324343">
        <w:rPr>
          <w:rFonts w:ascii="Times" w:hAnsi="Times"/>
        </w:rPr>
        <w:t xml:space="preserve"> which is </w:t>
      </w:r>
      <w:r w:rsidRPr="003E0CD3">
        <w:rPr>
          <w:rFonts w:ascii="Times" w:hAnsi="Times"/>
        </w:rPr>
        <w:t xml:space="preserve">already capable of capturing extensive metadata </w:t>
      </w:r>
      <w:r w:rsidR="00324343">
        <w:rPr>
          <w:rFonts w:ascii="Times" w:hAnsi="Times"/>
        </w:rPr>
        <w:t xml:space="preserve"> and which is being developed</w:t>
      </w:r>
      <w:r w:rsidRPr="003E0CD3">
        <w:rPr>
          <w:rFonts w:ascii="Times" w:hAnsi="Times"/>
        </w:rPr>
        <w:t xml:space="preserve"> </w:t>
      </w:r>
      <w:r w:rsidR="00A34016">
        <w:rPr>
          <w:rFonts w:ascii="Times" w:hAnsi="Times"/>
        </w:rPr>
        <w:t>into a version suitable for inclusion in a</w:t>
      </w:r>
      <w:r w:rsidR="006A7DFA">
        <w:rPr>
          <w:rFonts w:ascii="Times" w:hAnsi="Times"/>
        </w:rPr>
        <w:t xml:space="preserve"> suitable</w:t>
      </w:r>
      <w:r w:rsidR="00A34016">
        <w:rPr>
          <w:rFonts w:ascii="Times" w:hAnsi="Times"/>
        </w:rPr>
        <w:t xml:space="preserve"> workflow.</w:t>
      </w:r>
      <w:r w:rsidR="006A7DFA">
        <w:rPr>
          <w:rFonts w:ascii="Times" w:hAnsi="Times"/>
        </w:rPr>
        <w:t xml:space="preserve"> </w:t>
      </w:r>
      <w:r w:rsidR="00324343">
        <w:rPr>
          <w:rFonts w:ascii="Times" w:hAnsi="Times"/>
        </w:rPr>
        <w:t xml:space="preserve">We hope to implement this tool in the workflows present in the Data Repository being used as a test bed </w:t>
      </w:r>
      <w:r w:rsidR="006A7DFA">
        <w:rPr>
          <w:rFonts w:ascii="Times" w:hAnsi="Times"/>
        </w:rPr>
        <w:t>by</w:t>
      </w:r>
      <w:r w:rsidR="00324343">
        <w:rPr>
          <w:rFonts w:ascii="Times" w:hAnsi="Times"/>
        </w:rPr>
        <w:t xml:space="preserve"> </w:t>
      </w:r>
      <w:r w:rsidR="0093548E">
        <w:rPr>
          <w:rFonts w:ascii="Times" w:hAnsi="Times"/>
        </w:rPr>
        <w:t>mid</w:t>
      </w:r>
      <w:r w:rsidR="00324343">
        <w:rPr>
          <w:rFonts w:ascii="Times" w:hAnsi="Times"/>
        </w:rPr>
        <w:t xml:space="preserve"> 2019</w:t>
      </w:r>
      <w:r w:rsidR="006A7DFA">
        <w:rPr>
          <w:rFonts w:ascii="Times" w:hAnsi="Times"/>
        </w:rPr>
        <w:t xml:space="preserve"> so that it can be tested by the community.</w:t>
      </w:r>
    </w:p>
    <w:p w14:paraId="0717D8E1" w14:textId="38E7DF52" w:rsidR="004C3DCA" w:rsidRPr="003E0CD3" w:rsidRDefault="004C3DCA" w:rsidP="00E71BCB">
      <w:pPr>
        <w:jc w:val="both"/>
        <w:rPr>
          <w:rFonts w:ascii="Times" w:hAnsi="Times"/>
        </w:rPr>
      </w:pPr>
    </w:p>
    <w:p w14:paraId="326F0D61" w14:textId="098A2811" w:rsidR="004C3DCA" w:rsidRPr="003E0CD3" w:rsidRDefault="004C3DCA" w:rsidP="00E71BCB">
      <w:pPr>
        <w:jc w:val="both"/>
        <w:rPr>
          <w:rFonts w:ascii="Times" w:hAnsi="Times"/>
          <w:b/>
        </w:rPr>
      </w:pPr>
      <w:r w:rsidRPr="003E0CD3">
        <w:rPr>
          <w:rFonts w:ascii="Times" w:hAnsi="Times"/>
          <w:b/>
        </w:rPr>
        <w:t>Implementation and Testing.</w:t>
      </w:r>
    </w:p>
    <w:p w14:paraId="142FCA6D" w14:textId="08757E8F" w:rsidR="004C3DCA" w:rsidRPr="003E0CD3" w:rsidRDefault="004C3DCA" w:rsidP="00E71BCB">
      <w:pPr>
        <w:jc w:val="both"/>
        <w:rPr>
          <w:rFonts w:ascii="Times" w:hAnsi="Times"/>
        </w:rPr>
      </w:pPr>
    </w:p>
    <w:p w14:paraId="1E84E7F4" w14:textId="0E87D700" w:rsidR="004C3DCA" w:rsidRPr="003E0CD3" w:rsidRDefault="004C3DCA" w:rsidP="00E71BCB">
      <w:pPr>
        <w:jc w:val="both"/>
        <w:rPr>
          <w:rFonts w:ascii="Times" w:hAnsi="Times"/>
        </w:rPr>
      </w:pPr>
      <w:r w:rsidRPr="003E0CD3">
        <w:rPr>
          <w:rFonts w:ascii="Times" w:hAnsi="Times"/>
        </w:rPr>
        <w:t>The existing testbed</w:t>
      </w:r>
      <w:r w:rsidRPr="003E0CD3">
        <w:rPr>
          <w:rFonts w:ascii="Times" w:hAnsi="Times"/>
          <w:vertAlign w:val="superscript"/>
        </w:rPr>
        <w:fldChar w:fldCharType="begin"/>
      </w:r>
      <w:r w:rsidRPr="003E0CD3">
        <w:rPr>
          <w:rFonts w:ascii="Times" w:hAnsi="Times"/>
          <w:vertAlign w:val="superscript"/>
        </w:rPr>
        <w:instrText xml:space="preserve"> NOTEREF _Ref526944002 \h  \* MERGEFORMAT </w:instrText>
      </w:r>
      <w:r w:rsidRPr="003E0CD3">
        <w:rPr>
          <w:rFonts w:ascii="Times" w:hAnsi="Times"/>
          <w:vertAlign w:val="superscript"/>
        </w:rPr>
      </w:r>
      <w:r w:rsidRPr="003E0CD3">
        <w:rPr>
          <w:rFonts w:ascii="Times" w:hAnsi="Times"/>
          <w:vertAlign w:val="superscript"/>
        </w:rPr>
        <w:fldChar w:fldCharType="separate"/>
      </w:r>
      <w:r w:rsidR="00D8632A">
        <w:rPr>
          <w:rFonts w:ascii="Times" w:hAnsi="Times"/>
          <w:vertAlign w:val="superscript"/>
        </w:rPr>
        <w:t>2</w:t>
      </w:r>
      <w:r w:rsidRPr="003E0CD3">
        <w:rPr>
          <w:rFonts w:ascii="Times" w:hAnsi="Times"/>
          <w:vertAlign w:val="superscript"/>
        </w:rPr>
        <w:fldChar w:fldCharType="end"/>
      </w:r>
      <w:r w:rsidRPr="003E0CD3">
        <w:rPr>
          <w:rFonts w:ascii="Times" w:hAnsi="Times"/>
        </w:rPr>
        <w:t xml:space="preserve"> can be extended to allow metadata key triples (subject, subjectScheme,</w:t>
      </w:r>
      <w:r w:rsidR="003E0CD3">
        <w:rPr>
          <w:rFonts w:ascii="Times" w:hAnsi="Times"/>
        </w:rPr>
        <w:t xml:space="preserve"> </w:t>
      </w:r>
      <w:r w:rsidRPr="003E0CD3">
        <w:rPr>
          <w:rFonts w:ascii="Times" w:hAnsi="Times"/>
        </w:rPr>
        <w:t>value) to be selected by the depositor, which in turn will invoke an appropriate workflow.</w:t>
      </w:r>
      <w:r w:rsidR="004A23AE" w:rsidRPr="003E0CD3">
        <w:rPr>
          <w:rFonts w:ascii="Times" w:hAnsi="Times"/>
        </w:rPr>
        <w:t xml:space="preserve"> This can then be tested using queries modelled on that shown in scheme 1.</w:t>
      </w:r>
      <w:r w:rsidR="004061CC">
        <w:rPr>
          <w:rFonts w:ascii="Times" w:hAnsi="Times"/>
        </w:rPr>
        <w:t xml:space="preserve"> A </w:t>
      </w:r>
      <w:r w:rsidR="00A34016">
        <w:rPr>
          <w:rFonts w:ascii="Times" w:hAnsi="Times"/>
        </w:rPr>
        <w:t xml:space="preserve">repository </w:t>
      </w:r>
      <w:r w:rsidR="004061CC">
        <w:rPr>
          <w:rFonts w:ascii="Times" w:hAnsi="Times"/>
        </w:rPr>
        <w:t xml:space="preserve">collection has been established </w:t>
      </w:r>
      <w:r w:rsidR="00A34016">
        <w:rPr>
          <w:rFonts w:ascii="Times" w:hAnsi="Times"/>
        </w:rPr>
        <w:t>with</w:t>
      </w:r>
      <w:r w:rsidR="00DE3E5E">
        <w:rPr>
          <w:rFonts w:ascii="Times" w:hAnsi="Times"/>
        </w:rPr>
        <w:t xml:space="preserve"> existing</w:t>
      </w:r>
      <w:r w:rsidR="00A34016">
        <w:rPr>
          <w:rFonts w:ascii="Times" w:hAnsi="Times"/>
        </w:rPr>
        <w:t xml:space="preserve"> examples</w:t>
      </w:r>
      <w:r w:rsidR="00DE3E5E">
        <w:rPr>
          <w:rFonts w:ascii="Times" w:hAnsi="Times"/>
        </w:rPr>
        <w:t xml:space="preserve"> which can be added to</w:t>
      </w:r>
      <w:bookmarkStart w:id="1" w:name="_Ref536195855"/>
      <w:r w:rsidR="0093548E">
        <w:rPr>
          <w:rFonts w:ascii="Times" w:hAnsi="Times"/>
        </w:rPr>
        <w:t>.</w:t>
      </w:r>
      <w:r w:rsidR="004061CC" w:rsidRPr="000C704E">
        <w:rPr>
          <w:rStyle w:val="EndnoteReference"/>
          <w:rFonts w:ascii="Times" w:hAnsi="Times"/>
          <w:sz w:val="32"/>
          <w:szCs w:val="32"/>
        </w:rPr>
        <w:endnoteReference w:id="4"/>
      </w:r>
      <w:bookmarkEnd w:id="1"/>
    </w:p>
    <w:p w14:paraId="0B9A3D77" w14:textId="3734BEBF" w:rsidR="007251FA" w:rsidRPr="003E0CD3" w:rsidRDefault="007251FA" w:rsidP="00E71BCB">
      <w:pPr>
        <w:jc w:val="both"/>
        <w:rPr>
          <w:rFonts w:ascii="Times" w:hAnsi="Times"/>
        </w:rPr>
      </w:pPr>
    </w:p>
    <w:p w14:paraId="7D8667EB" w14:textId="148A2CE2" w:rsidR="007251FA" w:rsidRPr="003E0CD3" w:rsidRDefault="0092585B" w:rsidP="00E71BCB">
      <w:pPr>
        <w:jc w:val="both"/>
        <w:rPr>
          <w:rFonts w:ascii="Times" w:hAnsi="Times"/>
        </w:rPr>
      </w:pPr>
      <w:r w:rsidRPr="003E0CD3">
        <w:rPr>
          <w:rFonts w:ascii="Times" w:hAnsi="Times"/>
          <w:b/>
        </w:rPr>
        <w:t>DataCite schema extensions</w:t>
      </w:r>
      <w:r w:rsidRPr="003E0CD3">
        <w:rPr>
          <w:rFonts w:ascii="Times" w:hAnsi="Times"/>
        </w:rPr>
        <w:t>.</w:t>
      </w:r>
    </w:p>
    <w:p w14:paraId="13E89BBE" w14:textId="5DAB7FFE" w:rsidR="004A23AE" w:rsidRPr="003E0CD3" w:rsidRDefault="004A23AE" w:rsidP="00E71BCB">
      <w:pPr>
        <w:jc w:val="both"/>
        <w:rPr>
          <w:rFonts w:ascii="Times" w:hAnsi="Times"/>
        </w:rPr>
      </w:pPr>
    </w:p>
    <w:p w14:paraId="175A276A" w14:textId="1F8217FE" w:rsidR="004A23AE" w:rsidRPr="003E0CD3" w:rsidRDefault="004A23AE" w:rsidP="00E71BCB">
      <w:pPr>
        <w:jc w:val="both"/>
        <w:rPr>
          <w:rFonts w:ascii="Times" w:hAnsi="Times"/>
        </w:rPr>
      </w:pPr>
      <w:r w:rsidRPr="003E0CD3">
        <w:rPr>
          <w:rFonts w:ascii="Times" w:hAnsi="Times"/>
        </w:rPr>
        <w:t xml:space="preserve">As </w:t>
      </w:r>
      <w:r w:rsidR="00197B85" w:rsidRPr="003E0CD3">
        <w:rPr>
          <w:rFonts w:ascii="Times" w:hAnsi="Times"/>
        </w:rPr>
        <w:t>we develop and test our own metadata recommendations,</w:t>
      </w:r>
      <w:r w:rsidR="003E0CD3">
        <w:rPr>
          <w:rFonts w:ascii="Times" w:hAnsi="Times"/>
        </w:rPr>
        <w:t xml:space="preserve"> </w:t>
      </w:r>
      <w:r w:rsidR="00197B85" w:rsidRPr="003E0CD3">
        <w:rPr>
          <w:rFonts w:ascii="Times" w:hAnsi="Times"/>
        </w:rPr>
        <w:t>we might wish to feedback suggestions to DataCite themselves for future features in their schema</w:t>
      </w:r>
      <w:r w:rsidR="00263C53">
        <w:rPr>
          <w:rFonts w:ascii="Times" w:hAnsi="Times"/>
        </w:rPr>
        <w:t xml:space="preserve"> or tools</w:t>
      </w:r>
      <w:r w:rsidR="00197B85" w:rsidRPr="003E0CD3">
        <w:rPr>
          <w:rFonts w:ascii="Times" w:hAnsi="Times"/>
        </w:rPr>
        <w:t xml:space="preserve">. </w:t>
      </w:r>
      <w:r w:rsidR="00992A9C">
        <w:rPr>
          <w:rFonts w:ascii="Times" w:hAnsi="Times"/>
        </w:rPr>
        <w:t>Three</w:t>
      </w:r>
      <w:r w:rsidR="00197B85" w:rsidRPr="003E0CD3">
        <w:rPr>
          <w:rFonts w:ascii="Times" w:hAnsi="Times"/>
        </w:rPr>
        <w:t xml:space="preserve"> suggestions which have already emerged are;</w:t>
      </w:r>
    </w:p>
    <w:p w14:paraId="73B76E3C" w14:textId="4322E5CF" w:rsidR="00197B85" w:rsidRDefault="00197B85" w:rsidP="00E71BCB">
      <w:pPr>
        <w:pStyle w:val="ListParagraph"/>
        <w:numPr>
          <w:ilvl w:val="0"/>
          <w:numId w:val="3"/>
        </w:numPr>
        <w:jc w:val="both"/>
        <w:rPr>
          <w:rFonts w:ascii="Times" w:hAnsi="Times"/>
        </w:rPr>
      </w:pPr>
      <w:r w:rsidRPr="003E0CD3">
        <w:rPr>
          <w:rFonts w:ascii="Times" w:hAnsi="Times"/>
        </w:rPr>
        <w:t>The schema does not specify any method for data</w:t>
      </w:r>
      <w:r w:rsidR="00352EAD">
        <w:rPr>
          <w:rFonts w:ascii="Times" w:hAnsi="Times"/>
        </w:rPr>
        <w:t>-</w:t>
      </w:r>
      <w:r w:rsidRPr="003E0CD3">
        <w:rPr>
          <w:rFonts w:ascii="Times" w:hAnsi="Times"/>
        </w:rPr>
        <w:t>typing.</w:t>
      </w:r>
      <w:r w:rsidR="003E0CD3">
        <w:rPr>
          <w:rFonts w:ascii="Times" w:hAnsi="Times"/>
        </w:rPr>
        <w:t xml:space="preserve"> </w:t>
      </w:r>
      <w:r w:rsidRPr="003E0CD3">
        <w:rPr>
          <w:rFonts w:ascii="Times" w:hAnsi="Times"/>
        </w:rPr>
        <w:t>There is no way of specifying a floating</w:t>
      </w:r>
      <w:r w:rsidR="00B72F88">
        <w:rPr>
          <w:rFonts w:ascii="Times" w:hAnsi="Times"/>
        </w:rPr>
        <w:t>-</w:t>
      </w:r>
      <w:r w:rsidRPr="003E0CD3">
        <w:rPr>
          <w:rFonts w:ascii="Times" w:hAnsi="Times"/>
        </w:rPr>
        <w:t xml:space="preserve">point value </w:t>
      </w:r>
      <w:r w:rsidR="00263C53">
        <w:rPr>
          <w:rFonts w:ascii="Times" w:hAnsi="Times"/>
        </w:rPr>
        <w:t xml:space="preserve">as </w:t>
      </w:r>
      <w:r w:rsidR="00F40947">
        <w:rPr>
          <w:rFonts w:ascii="Times" w:hAnsi="Times"/>
        </w:rPr>
        <w:t xml:space="preserve">being </w:t>
      </w:r>
      <w:r w:rsidR="00263C53">
        <w:rPr>
          <w:rFonts w:ascii="Times" w:hAnsi="Times"/>
        </w:rPr>
        <w:t>different</w:t>
      </w:r>
      <w:r w:rsidRPr="003E0CD3">
        <w:rPr>
          <w:rFonts w:ascii="Times" w:hAnsi="Times"/>
        </w:rPr>
        <w:t xml:space="preserve"> to a pure </w:t>
      </w:r>
      <w:r w:rsidR="00263C53">
        <w:rPr>
          <w:rFonts w:ascii="Times" w:hAnsi="Times"/>
        </w:rPr>
        <w:t>alphanumeric</w:t>
      </w:r>
      <w:r w:rsidRPr="003E0CD3">
        <w:rPr>
          <w:rFonts w:ascii="Times" w:hAnsi="Times"/>
        </w:rPr>
        <w:t xml:space="preserve"> string;</w:t>
      </w:r>
      <w:r w:rsidR="003E0CD3">
        <w:rPr>
          <w:rFonts w:ascii="Times" w:hAnsi="Times"/>
        </w:rPr>
        <w:t xml:space="preserve"> </w:t>
      </w:r>
      <w:r w:rsidRPr="003E0CD3">
        <w:rPr>
          <w:rFonts w:ascii="Times" w:hAnsi="Times"/>
        </w:rPr>
        <w:t>both are treated equally at present.</w:t>
      </w:r>
    </w:p>
    <w:p w14:paraId="47CC3132" w14:textId="2C0EF3C4" w:rsidR="00DE3E5E" w:rsidRDefault="0014158D" w:rsidP="00E71BCB">
      <w:pPr>
        <w:pStyle w:val="ListParagraph"/>
        <w:numPr>
          <w:ilvl w:val="0"/>
          <w:numId w:val="3"/>
        </w:numPr>
        <w:jc w:val="both"/>
        <w:rPr>
          <w:rFonts w:ascii="Times" w:hAnsi="Times"/>
        </w:rPr>
      </w:pPr>
      <w:r>
        <w:rPr>
          <w:rFonts w:ascii="Times" w:hAnsi="Times"/>
        </w:rPr>
        <w:t xml:space="preserve">The schema does not </w:t>
      </w:r>
      <w:r w:rsidR="00F40947">
        <w:rPr>
          <w:rFonts w:ascii="Times" w:hAnsi="Times"/>
        </w:rPr>
        <w:t xml:space="preserve">currently </w:t>
      </w:r>
      <w:r>
        <w:rPr>
          <w:rFonts w:ascii="Times" w:hAnsi="Times"/>
        </w:rPr>
        <w:t>specify a means for declaring units for numerical values. For example, the one above is in units of</w:t>
      </w:r>
      <w:r w:rsidR="00B72F88">
        <w:rPr>
          <w:rFonts w:ascii="Times" w:hAnsi="Times"/>
        </w:rPr>
        <w:t xml:space="preserve"> </w:t>
      </w:r>
      <w:proofErr w:type="spellStart"/>
      <w:r>
        <w:rPr>
          <w:rFonts w:ascii="Times" w:hAnsi="Times"/>
        </w:rPr>
        <w:t>Hartree</w:t>
      </w:r>
      <w:proofErr w:type="spellEnd"/>
      <w:r w:rsidR="00DE3E5E">
        <w:rPr>
          <w:rFonts w:ascii="Times" w:hAnsi="Times"/>
        </w:rPr>
        <w:t xml:space="preserve">, but </w:t>
      </w:r>
      <w:r w:rsidR="00F40947">
        <w:rPr>
          <w:rFonts w:ascii="Times" w:hAnsi="Times"/>
        </w:rPr>
        <w:t>there is no specification for</w:t>
      </w:r>
      <w:r w:rsidR="00DE3E5E">
        <w:rPr>
          <w:rFonts w:ascii="Times" w:hAnsi="Times"/>
        </w:rPr>
        <w:t xml:space="preserve"> decla</w:t>
      </w:r>
      <w:r w:rsidR="00F40947">
        <w:rPr>
          <w:rFonts w:ascii="Times" w:hAnsi="Times"/>
        </w:rPr>
        <w:t>ring it</w:t>
      </w:r>
      <w:r w:rsidR="00DE3E5E">
        <w:rPr>
          <w:rFonts w:ascii="Times" w:hAnsi="Times"/>
        </w:rPr>
        <w:t>.</w:t>
      </w:r>
    </w:p>
    <w:p w14:paraId="2FDFF900" w14:textId="655701EC" w:rsidR="00324343" w:rsidRDefault="00197B85" w:rsidP="00324343">
      <w:pPr>
        <w:pStyle w:val="ListParagraph"/>
        <w:numPr>
          <w:ilvl w:val="0"/>
          <w:numId w:val="3"/>
        </w:numPr>
        <w:rPr>
          <w:rFonts w:ascii="Times" w:hAnsi="Times"/>
        </w:rPr>
      </w:pPr>
      <w:r w:rsidRPr="00BA7B3F">
        <w:rPr>
          <w:rFonts w:ascii="Times" w:hAnsi="Times"/>
        </w:rPr>
        <w:t>The</w:t>
      </w:r>
      <w:r w:rsidR="00324343">
        <w:rPr>
          <w:rFonts w:ascii="Times" w:hAnsi="Times"/>
        </w:rPr>
        <w:t xml:space="preserve"> most serious limitation of the</w:t>
      </w:r>
      <w:r w:rsidR="00795784">
        <w:rPr>
          <w:rFonts w:ascii="Times" w:hAnsi="Times"/>
        </w:rPr>
        <w:t xml:space="preserve"> current</w:t>
      </w:r>
      <w:r w:rsidR="003E0CD3" w:rsidRPr="00BA7B3F">
        <w:rPr>
          <w:rFonts w:ascii="Times" w:hAnsi="Times"/>
        </w:rPr>
        <w:t xml:space="preserve"> </w:t>
      </w:r>
      <w:proofErr w:type="spellStart"/>
      <w:r w:rsidRPr="00BA7B3F">
        <w:rPr>
          <w:rFonts w:ascii="Times" w:hAnsi="Times"/>
        </w:rPr>
        <w:t>DataCite</w:t>
      </w:r>
      <w:proofErr w:type="spellEnd"/>
      <w:r w:rsidRPr="00BA7B3F">
        <w:rPr>
          <w:rFonts w:ascii="Times" w:hAnsi="Times"/>
        </w:rPr>
        <w:t xml:space="preserve"> </w:t>
      </w:r>
      <w:r w:rsidR="00795784">
        <w:rPr>
          <w:rFonts w:ascii="Times" w:hAnsi="Times"/>
        </w:rPr>
        <w:t>indexing</w:t>
      </w:r>
      <w:r w:rsidRPr="00BA7B3F">
        <w:rPr>
          <w:rFonts w:ascii="Times" w:hAnsi="Times"/>
        </w:rPr>
        <w:t xml:space="preserve"> </w:t>
      </w:r>
      <w:r w:rsidR="00324343">
        <w:rPr>
          <w:rFonts w:ascii="Times" w:hAnsi="Times"/>
        </w:rPr>
        <w:t xml:space="preserve">is that it </w:t>
      </w:r>
      <w:r w:rsidRPr="00BA7B3F">
        <w:rPr>
          <w:rFonts w:ascii="Times" w:hAnsi="Times"/>
        </w:rPr>
        <w:t xml:space="preserve">does not honour grouping whereby </w:t>
      </w:r>
      <w:r w:rsidR="006F2723">
        <w:rPr>
          <w:rFonts w:ascii="Times" w:hAnsi="Times"/>
        </w:rPr>
        <w:t>sub-groups</w:t>
      </w:r>
      <w:r w:rsidRPr="00BA7B3F">
        <w:rPr>
          <w:rFonts w:ascii="Times" w:hAnsi="Times"/>
        </w:rPr>
        <w:t xml:space="preserve"> are separately evaluated.</w:t>
      </w:r>
      <w:r w:rsidR="00DE3E5E" w:rsidRPr="00BA7B3F">
        <w:rPr>
          <w:rFonts w:ascii="Times" w:hAnsi="Times"/>
        </w:rPr>
        <w:t xml:space="preserve"> </w:t>
      </w:r>
      <w:r w:rsidR="00795784">
        <w:rPr>
          <w:rFonts w:ascii="Times" w:hAnsi="Times"/>
        </w:rPr>
        <w:t xml:space="preserve">This can be illustrated using the variation on the search above; </w:t>
      </w:r>
      <w:hyperlink r:id="rId11" w:history="1">
        <w:r w:rsidR="00795784" w:rsidRPr="006456CD">
          <w:rPr>
            <w:rStyle w:val="Hyperlink"/>
            <w:rFonts w:ascii="Times" w:hAnsi="Times"/>
          </w:rPr>
          <w:t>https://search.datacite.org/works?query=</w:t>
        </w:r>
        <w:r w:rsidR="00795784" w:rsidRPr="006456CD">
          <w:rPr>
            <w:rStyle w:val="Hyperlink"/>
            <w:rFonts w:ascii="Times" w:hAnsi="Times"/>
          </w:rPr>
          <w:t>(</w:t>
        </w:r>
        <w:r w:rsidR="00795784" w:rsidRPr="006456CD">
          <w:rPr>
            <w:rStyle w:val="Hyperlink"/>
            <w:rFonts w:ascii="Times" w:hAnsi="Times"/>
          </w:rPr>
          <w:t>subjects.subjectScheme:inchikey+AND+subjects.subject:"-</w:t>
        </w:r>
        <w:r w:rsidR="00795784" w:rsidRPr="006456CD">
          <w:rPr>
            <w:rStyle w:val="Hyperlink"/>
            <w:rFonts w:ascii="Times" w:hAnsi="Times"/>
          </w:rPr>
          <w:lastRenderedPageBreak/>
          <w:t>1082.980914")+AND+(subjects.subjectScheme:Gibbs_Energy+AND+subjects.subject:KTOSDSJYNBIDCN-UHFFFAOYSA-N)</w:t>
        </w:r>
      </w:hyperlink>
      <w:r w:rsidR="00324343">
        <w:rPr>
          <w:rFonts w:ascii="Times" w:hAnsi="Times"/>
        </w:rPr>
        <w:t xml:space="preserve"> </w:t>
      </w:r>
    </w:p>
    <w:p w14:paraId="6B773BC2" w14:textId="0E1CC515" w:rsidR="00197B85" w:rsidRDefault="00324343" w:rsidP="00324343">
      <w:pPr>
        <w:pStyle w:val="ListParagraph"/>
        <w:jc w:val="both"/>
        <w:rPr>
          <w:rFonts w:ascii="Times" w:hAnsi="Times"/>
        </w:rPr>
      </w:pPr>
      <w:r w:rsidRPr="00324343">
        <w:rPr>
          <w:rFonts w:ascii="Times" w:hAnsi="Times"/>
        </w:rPr>
        <w:t xml:space="preserve">If you evaluate it, you will notice it gives the same result as the original query,  even though a value of  -1082.980914 for an </w:t>
      </w:r>
      <w:proofErr w:type="spellStart"/>
      <w:r w:rsidRPr="00324343">
        <w:rPr>
          <w:rFonts w:ascii="Times" w:hAnsi="Times"/>
        </w:rPr>
        <w:t>InChi</w:t>
      </w:r>
      <w:proofErr w:type="spellEnd"/>
      <w:r w:rsidRPr="00324343">
        <w:rPr>
          <w:rFonts w:ascii="Times" w:hAnsi="Times"/>
        </w:rPr>
        <w:t xml:space="preserve"> string is clearly absurd. To solve this issue,</w:t>
      </w:r>
      <w:r>
        <w:rPr>
          <w:rFonts w:ascii="Times" w:hAnsi="Times"/>
        </w:rPr>
        <w:t xml:space="preserve"> </w:t>
      </w:r>
      <w:r w:rsidR="006F2723">
        <w:rPr>
          <w:rFonts w:ascii="Times" w:hAnsi="Times"/>
        </w:rPr>
        <w:t xml:space="preserve">we have persuaded </w:t>
      </w:r>
      <w:proofErr w:type="spellStart"/>
      <w:r w:rsidR="006F2723">
        <w:rPr>
          <w:rFonts w:ascii="Times" w:hAnsi="Times"/>
        </w:rPr>
        <w:t>DataCite</w:t>
      </w:r>
      <w:proofErr w:type="spellEnd"/>
      <w:r w:rsidR="006F2723">
        <w:rPr>
          <w:rFonts w:ascii="Times" w:hAnsi="Times"/>
        </w:rPr>
        <w:t xml:space="preserve"> to undertake a</w:t>
      </w:r>
      <w:r w:rsidR="00795784" w:rsidRPr="00324343">
        <w:rPr>
          <w:rFonts w:ascii="Times" w:hAnsi="Times"/>
        </w:rPr>
        <w:t xml:space="preserve"> new </w:t>
      </w:r>
      <w:r w:rsidR="0093548E">
        <w:rPr>
          <w:rFonts w:ascii="Times" w:hAnsi="Times"/>
        </w:rPr>
        <w:t>re-</w:t>
      </w:r>
      <w:r w:rsidR="00795784" w:rsidRPr="00324343">
        <w:rPr>
          <w:rFonts w:ascii="Times" w:hAnsi="Times"/>
        </w:rPr>
        <w:t>indexing based on nested queries (</w:t>
      </w:r>
      <w:hyperlink r:id="rId12" w:history="1">
        <w:r w:rsidR="00795784" w:rsidRPr="00324343">
          <w:rPr>
            <w:rStyle w:val="Hyperlink"/>
            <w:rFonts w:ascii="Times" w:hAnsi="Times"/>
          </w:rPr>
          <w:t>https://www.elastic.co/guide/en/elasticsearch/reference/current/query-dsl-nested-query.html</w:t>
        </w:r>
      </w:hyperlink>
      <w:r w:rsidR="00795784" w:rsidRPr="00324343">
        <w:rPr>
          <w:rFonts w:ascii="Times" w:hAnsi="Times"/>
        </w:rPr>
        <w:t>)</w:t>
      </w:r>
      <w:r w:rsidR="006F2723">
        <w:rPr>
          <w:rFonts w:ascii="Times" w:hAnsi="Times"/>
        </w:rPr>
        <w:t>, scheduled to happen</w:t>
      </w:r>
      <w:r w:rsidR="00795784" w:rsidRPr="00324343">
        <w:rPr>
          <w:rFonts w:ascii="Times" w:hAnsi="Times"/>
        </w:rPr>
        <w:t xml:space="preserve"> in February 201</w:t>
      </w:r>
      <w:r w:rsidR="006F2723">
        <w:rPr>
          <w:rFonts w:ascii="Times" w:hAnsi="Times"/>
        </w:rPr>
        <w:t>9</w:t>
      </w:r>
      <w:r w:rsidR="00795784" w:rsidRPr="00324343">
        <w:rPr>
          <w:rFonts w:ascii="Times" w:hAnsi="Times"/>
        </w:rPr>
        <w:t xml:space="preserve">. </w:t>
      </w:r>
      <w:r>
        <w:rPr>
          <w:rFonts w:ascii="Times" w:hAnsi="Times"/>
        </w:rPr>
        <w:t xml:space="preserve"> This will allow </w:t>
      </w:r>
      <w:r w:rsidR="006F2723">
        <w:rPr>
          <w:rFonts w:ascii="Times" w:hAnsi="Times"/>
        </w:rPr>
        <w:t>multiple &lt;subject&gt; entries to be correctly indexed</w:t>
      </w:r>
      <w:r w:rsidR="008B3DDF">
        <w:rPr>
          <w:rFonts w:ascii="Times" w:hAnsi="Times"/>
        </w:rPr>
        <w:t xml:space="preserve"> and hence tested.</w:t>
      </w:r>
      <w:bookmarkStart w:id="2" w:name="_GoBack"/>
      <w:bookmarkEnd w:id="2"/>
    </w:p>
    <w:p w14:paraId="51834038" w14:textId="77777777" w:rsidR="00324343" w:rsidRPr="00324343" w:rsidRDefault="00324343" w:rsidP="00324343">
      <w:pPr>
        <w:pStyle w:val="ListParagraph"/>
        <w:jc w:val="both"/>
        <w:rPr>
          <w:rFonts w:ascii="Times" w:hAnsi="Times"/>
        </w:rPr>
      </w:pPr>
    </w:p>
    <w:p w14:paraId="203F5EA7" w14:textId="292827DB" w:rsidR="007B5485" w:rsidRPr="003E0CD3" w:rsidRDefault="007B5485" w:rsidP="00E71BCB">
      <w:pPr>
        <w:jc w:val="both"/>
        <w:rPr>
          <w:rFonts w:ascii="Times" w:hAnsi="Times"/>
          <w:b/>
        </w:rPr>
      </w:pPr>
      <w:r w:rsidRPr="003E0CD3">
        <w:rPr>
          <w:rFonts w:ascii="Times" w:hAnsi="Times"/>
          <w:b/>
        </w:rPr>
        <w:t>Requests for comment</w:t>
      </w:r>
    </w:p>
    <w:p w14:paraId="24077B6A" w14:textId="0CF9A0B5" w:rsidR="00197B85" w:rsidRPr="003E0CD3" w:rsidRDefault="00197B85" w:rsidP="00E71BCB">
      <w:pPr>
        <w:jc w:val="both"/>
        <w:rPr>
          <w:rFonts w:ascii="Times" w:hAnsi="Times"/>
        </w:rPr>
      </w:pPr>
    </w:p>
    <w:p w14:paraId="5F14A225" w14:textId="549333E2" w:rsidR="007B5485" w:rsidRDefault="007B5485" w:rsidP="00E71BCB">
      <w:pPr>
        <w:jc w:val="both"/>
        <w:outlineLvl w:val="0"/>
        <w:rPr>
          <w:rFonts w:ascii="Times" w:hAnsi="Times"/>
        </w:rPr>
      </w:pPr>
      <w:r w:rsidRPr="003E0CD3">
        <w:rPr>
          <w:rFonts w:ascii="Times" w:hAnsi="Times"/>
        </w:rPr>
        <w:t>The above is designed to promote discussion of recommendations for DataCite metadata registration</w:t>
      </w:r>
      <w:r w:rsidR="002A0A87" w:rsidRPr="003E0CD3">
        <w:rPr>
          <w:rFonts w:ascii="Times" w:hAnsi="Times"/>
        </w:rPr>
        <w:t>. In particular we can decide if eg Table 1 is a useful initial template for creating a set of metadata descriptors which can be used to locate</w:t>
      </w:r>
      <w:r w:rsidR="003E0CD3">
        <w:rPr>
          <w:rFonts w:ascii="Times" w:hAnsi="Times"/>
        </w:rPr>
        <w:t xml:space="preserve"> </w:t>
      </w:r>
      <w:r w:rsidR="002A0A87" w:rsidRPr="003E0CD3">
        <w:rPr>
          <w:rFonts w:ascii="Times" w:hAnsi="Times"/>
        </w:rPr>
        <w:t xml:space="preserve">NMR datasets. Further potential </w:t>
      </w:r>
      <w:r w:rsidR="000F673E">
        <w:rPr>
          <w:rFonts w:ascii="Times" w:hAnsi="Times"/>
        </w:rPr>
        <w:t xml:space="preserve">subject </w:t>
      </w:r>
      <w:r w:rsidR="002A0A87" w:rsidRPr="003E0CD3">
        <w:rPr>
          <w:rFonts w:ascii="Times" w:hAnsi="Times"/>
        </w:rPr>
        <w:t>areas can also be identified</w:t>
      </w:r>
      <w:r w:rsidR="000F673E">
        <w:rPr>
          <w:rFonts w:ascii="Times" w:hAnsi="Times"/>
        </w:rPr>
        <w:t xml:space="preserve"> by the working group.</w:t>
      </w:r>
      <w:r w:rsidR="003E0CD3">
        <w:rPr>
          <w:rFonts w:ascii="Times" w:hAnsi="Times"/>
        </w:rPr>
        <w:t xml:space="preserve"> </w:t>
      </w:r>
    </w:p>
    <w:p w14:paraId="5F96FE64" w14:textId="033B9E4B" w:rsidR="007B5485" w:rsidRPr="00197B85" w:rsidRDefault="007B5485" w:rsidP="00E71BCB">
      <w:pPr>
        <w:jc w:val="both"/>
        <w:rPr>
          <w:rFonts w:ascii="Times" w:hAnsi="Times"/>
        </w:rPr>
      </w:pPr>
    </w:p>
    <w:sectPr w:rsidR="007B5485" w:rsidRPr="00197B85" w:rsidSect="004C1CB1">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D67D" w14:textId="77777777" w:rsidR="00053632" w:rsidRDefault="00053632" w:rsidP="00FB6544">
      <w:r>
        <w:separator/>
      </w:r>
    </w:p>
  </w:endnote>
  <w:endnote w:type="continuationSeparator" w:id="0">
    <w:p w14:paraId="6A602741" w14:textId="77777777" w:rsidR="00053632" w:rsidRDefault="00053632" w:rsidP="00FB6544">
      <w:r>
        <w:continuationSeparator/>
      </w:r>
    </w:p>
  </w:endnote>
  <w:endnote w:id="1">
    <w:p w14:paraId="3D6F2C21" w14:textId="078A5235" w:rsidR="00FB6544" w:rsidRDefault="00FB6544">
      <w:pPr>
        <w:pStyle w:val="EndnoteText"/>
      </w:pPr>
      <w:r>
        <w:rPr>
          <w:rStyle w:val="EndnoteReference"/>
        </w:rPr>
        <w:endnoteRef/>
      </w:r>
      <w:r>
        <w:t xml:space="preserve"> </w:t>
      </w:r>
      <w:hyperlink r:id="rId1" w:history="1">
        <w:r w:rsidRPr="00890085">
          <w:rPr>
            <w:rStyle w:val="Hyperlink"/>
          </w:rPr>
          <w:t>https://schema.datacite.org/meta/kernel-4.1/</w:t>
        </w:r>
      </w:hyperlink>
    </w:p>
  </w:endnote>
  <w:endnote w:id="2">
    <w:p w14:paraId="318AF22D" w14:textId="7DCF7C34" w:rsidR="00184688" w:rsidRDefault="00184688" w:rsidP="00184688">
      <w:pPr>
        <w:pStyle w:val="EndnoteText"/>
      </w:pPr>
      <w:r>
        <w:rPr>
          <w:rStyle w:val="EndnoteReference"/>
        </w:rPr>
        <w:endnoteRef/>
      </w:r>
      <w:r>
        <w:t xml:space="preserve"> </w:t>
      </w:r>
      <w:r w:rsidRPr="00EF3CBF">
        <w:t>M. J. Harvey, A. McLean, H. S. Rzepa, A metadata-driven approach to data repository design</w:t>
      </w:r>
      <w:r w:rsidRPr="00F7136D">
        <w:rPr>
          <w:i/>
        </w:rPr>
        <w:t xml:space="preserve">, J. </w:t>
      </w:r>
      <w:proofErr w:type="spellStart"/>
      <w:r w:rsidRPr="00F7136D">
        <w:rPr>
          <w:i/>
        </w:rPr>
        <w:t>Cheminform</w:t>
      </w:r>
      <w:proofErr w:type="spellEnd"/>
      <w:r w:rsidRPr="00EF3CBF">
        <w:t xml:space="preserve">., </w:t>
      </w:r>
      <w:r w:rsidRPr="00F7136D">
        <w:rPr>
          <w:b/>
        </w:rPr>
        <w:t>2017</w:t>
      </w:r>
      <w:r w:rsidRPr="00EF3CBF">
        <w:t>, DOI:</w:t>
      </w:r>
      <w:r>
        <w:fldChar w:fldCharType="begin"/>
      </w:r>
      <w:r>
        <w:instrText xml:space="preserve"> HYPERLINK "https://doi.org/10.1186/s13321-017-0190-6" </w:instrText>
      </w:r>
      <w:r>
        <w:fldChar w:fldCharType="separate"/>
      </w:r>
      <w:r w:rsidRPr="00890085">
        <w:rPr>
          <w:rStyle w:val="Hyperlink"/>
        </w:rPr>
        <w:t>10.1186/s13321-017-0190-6</w:t>
      </w:r>
      <w:r>
        <w:rPr>
          <w:rStyle w:val="Hyperlink"/>
        </w:rPr>
        <w:fldChar w:fldCharType="end"/>
      </w:r>
      <w:r w:rsidRPr="00EF3CBF">
        <w:t>, dataDOI:</w:t>
      </w:r>
      <w:r>
        <w:fldChar w:fldCharType="begin"/>
      </w:r>
      <w:r>
        <w:instrText xml:space="preserve"> HYPERLINK "https://doi.org/10.14469/hpc/1088" </w:instrText>
      </w:r>
      <w:r>
        <w:fldChar w:fldCharType="separate"/>
      </w:r>
      <w:r w:rsidRPr="003E5CE7">
        <w:rPr>
          <w:rStyle w:val="Hyperlink"/>
        </w:rPr>
        <w:t>10.14469/</w:t>
      </w:r>
      <w:proofErr w:type="spellStart"/>
      <w:r w:rsidRPr="003E5CE7">
        <w:rPr>
          <w:rStyle w:val="Hyperlink"/>
        </w:rPr>
        <w:t>hpc</w:t>
      </w:r>
      <w:proofErr w:type="spellEnd"/>
      <w:r w:rsidRPr="003E5CE7">
        <w:rPr>
          <w:rStyle w:val="Hyperlink"/>
        </w:rPr>
        <w:t>/1088</w:t>
      </w:r>
      <w:r>
        <w:rPr>
          <w:rStyle w:val="Hyperlink"/>
        </w:rPr>
        <w:fldChar w:fldCharType="end"/>
      </w:r>
    </w:p>
  </w:endnote>
  <w:endnote w:id="3">
    <w:p w14:paraId="6A7DC1AF" w14:textId="7AED2F2A" w:rsidR="00184688" w:rsidRDefault="00184688" w:rsidP="00184688">
      <w:pPr>
        <w:pStyle w:val="EndnoteText"/>
      </w:pPr>
      <w:r>
        <w:rPr>
          <w:rStyle w:val="EndnoteReference"/>
        </w:rPr>
        <w:endnoteRef/>
      </w:r>
      <w:r>
        <w:t xml:space="preserve"> </w:t>
      </w:r>
      <w:r w:rsidR="008B6BBD" w:rsidRPr="008B6BBD">
        <w:t xml:space="preserve">A. Barba, S. Dominguez, C. Gomez, D. P. Martinsen, C. Romain,§ H. S. Rzepa and F. </w:t>
      </w:r>
      <w:proofErr w:type="spellStart"/>
      <w:r w:rsidR="008B6BBD" w:rsidRPr="008B6BBD">
        <w:t>Seoane</w:t>
      </w:r>
      <w:proofErr w:type="spellEnd"/>
      <w:r w:rsidRPr="002E1444">
        <w:t xml:space="preserve">, A Workflow Enabling Facile Submission of NMR FIDs in Conjunction with NMR Spectra as Journal Article Supporting Information and FAIR-enabled data publication, </w:t>
      </w:r>
      <w:r w:rsidRPr="002E1444">
        <w:rPr>
          <w:i/>
        </w:rPr>
        <w:t>ACS Omega</w:t>
      </w:r>
      <w:r>
        <w:t xml:space="preserve">, </w:t>
      </w:r>
      <w:r w:rsidRPr="002E1444">
        <w:rPr>
          <w:b/>
        </w:rPr>
        <w:t>2019</w:t>
      </w:r>
      <w:r>
        <w:t xml:space="preserve">, in press. </w:t>
      </w:r>
      <w:r w:rsidRPr="002E1444">
        <w:t>DOI:</w:t>
      </w:r>
      <w:hyperlink r:id="rId2" w:history="1">
        <w:r w:rsidRPr="006A7DFA">
          <w:rPr>
            <w:rStyle w:val="Hyperlink"/>
          </w:rPr>
          <w:t>10.1021/acsomega.8b03005</w:t>
        </w:r>
      </w:hyperlink>
    </w:p>
  </w:endnote>
  <w:endnote w:id="4">
    <w:p w14:paraId="5416A498" w14:textId="3EC9D855" w:rsidR="004061CC" w:rsidRDefault="004061CC" w:rsidP="00E71BCB">
      <w:r>
        <w:rPr>
          <w:rStyle w:val="EndnoteReference"/>
        </w:rPr>
        <w:endnoteRef/>
      </w:r>
      <w:r w:rsidR="0014158D">
        <w:t xml:space="preserve"> </w:t>
      </w:r>
      <w:r w:rsidR="0014158D" w:rsidRPr="0014158D">
        <w:rPr>
          <w:rFonts w:ascii="Times" w:hAnsi="Times"/>
          <w:sz w:val="20"/>
          <w:szCs w:val="20"/>
        </w:rPr>
        <w:t>See DOI:</w:t>
      </w:r>
      <w:r>
        <w:t xml:space="preserve"> </w:t>
      </w:r>
      <w:r w:rsidR="00053632" w:rsidRPr="006F2723">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6A7DFA" w:rsidRPr="006F2723">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HYPERLINK "https://doi.org/10.14469/hpc/4739" \o "Click"</w:instrText>
      </w:r>
      <w:r w:rsidR="006A7DFA" w:rsidRPr="006F2723">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053632" w:rsidRPr="006F2723">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6F2723">
        <w:rPr>
          <w:rStyle w:val="Hyperlink"/>
          <w:rFonts w:ascii="Times" w:hAnsi="Times"/>
          <w:color w:val="0070C0"/>
          <w:sz w:val="20"/>
          <w:szCs w:val="20"/>
          <w:u w:val="none"/>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10.14469/</w:t>
      </w:r>
      <w:proofErr w:type="spellStart"/>
      <w:r w:rsidRPr="006F2723">
        <w:rPr>
          <w:rStyle w:val="Hyperlink"/>
          <w:rFonts w:ascii="Times" w:hAnsi="Times"/>
          <w:color w:val="0070C0"/>
          <w:sz w:val="20"/>
          <w:szCs w:val="20"/>
          <w:u w:val="none"/>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6F2723">
        <w:rPr>
          <w:rStyle w:val="Hyperlink"/>
          <w:rFonts w:ascii="Times" w:hAnsi="Times"/>
          <w:color w:val="0070C0"/>
          <w:sz w:val="20"/>
          <w:szCs w:val="20"/>
          <w:u w:val="none"/>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pc</w:t>
      </w:r>
      <w:proofErr w:type="spellEnd"/>
      <w:r w:rsidRPr="006F2723">
        <w:rPr>
          <w:rStyle w:val="Hyperlink"/>
          <w:rFonts w:ascii="Times" w:hAnsi="Times"/>
          <w:color w:val="0070C0"/>
          <w:sz w:val="20"/>
          <w:szCs w:val="20"/>
          <w:u w:val="none"/>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/4739</w:t>
      </w:r>
      <w:r w:rsidR="00053632" w:rsidRPr="006F2723">
        <w:rPr>
          <w:rStyle w:val="Hyperlink"/>
          <w:rFonts w:ascii="Times" w:hAnsi="Times"/>
          <w:color w:val="0070C0"/>
          <w:sz w:val="20"/>
          <w:szCs w:val="20"/>
          <w:u w:val="none"/>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899F" w14:textId="77777777" w:rsidR="00053632" w:rsidRDefault="00053632" w:rsidP="00FB6544">
      <w:r>
        <w:separator/>
      </w:r>
    </w:p>
  </w:footnote>
  <w:footnote w:type="continuationSeparator" w:id="0">
    <w:p w14:paraId="139E33BE" w14:textId="77777777" w:rsidR="00053632" w:rsidRDefault="00053632" w:rsidP="00FB6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75EEC"/>
    <w:multiLevelType w:val="hybridMultilevel"/>
    <w:tmpl w:val="83B6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C0E02"/>
    <w:multiLevelType w:val="hybridMultilevel"/>
    <w:tmpl w:val="0EFE7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361BE"/>
    <w:multiLevelType w:val="hybridMultilevel"/>
    <w:tmpl w:val="E47E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4"/>
    <w:rsid w:val="00053632"/>
    <w:rsid w:val="00087514"/>
    <w:rsid w:val="000C334C"/>
    <w:rsid w:val="000C704E"/>
    <w:rsid w:val="000F2F46"/>
    <w:rsid w:val="000F673E"/>
    <w:rsid w:val="00106700"/>
    <w:rsid w:val="0014158D"/>
    <w:rsid w:val="00184688"/>
    <w:rsid w:val="00197B85"/>
    <w:rsid w:val="001F7EED"/>
    <w:rsid w:val="00200677"/>
    <w:rsid w:val="00207B99"/>
    <w:rsid w:val="002207C1"/>
    <w:rsid w:val="00243EE8"/>
    <w:rsid w:val="00263C53"/>
    <w:rsid w:val="002A0A87"/>
    <w:rsid w:val="002E1444"/>
    <w:rsid w:val="00324343"/>
    <w:rsid w:val="00352EAD"/>
    <w:rsid w:val="003C7372"/>
    <w:rsid w:val="003E0CD3"/>
    <w:rsid w:val="003E5CE7"/>
    <w:rsid w:val="003F2A08"/>
    <w:rsid w:val="004061CC"/>
    <w:rsid w:val="00423016"/>
    <w:rsid w:val="004A23AE"/>
    <w:rsid w:val="004C1CB1"/>
    <w:rsid w:val="004C3DCA"/>
    <w:rsid w:val="00523463"/>
    <w:rsid w:val="005627F9"/>
    <w:rsid w:val="005B4AEE"/>
    <w:rsid w:val="00656B24"/>
    <w:rsid w:val="00672BC3"/>
    <w:rsid w:val="00696B8F"/>
    <w:rsid w:val="006A7DFA"/>
    <w:rsid w:val="006D49EF"/>
    <w:rsid w:val="006E6BA2"/>
    <w:rsid w:val="006F2723"/>
    <w:rsid w:val="006F4F3A"/>
    <w:rsid w:val="007251FA"/>
    <w:rsid w:val="00765B7D"/>
    <w:rsid w:val="00795784"/>
    <w:rsid w:val="00797330"/>
    <w:rsid w:val="00797455"/>
    <w:rsid w:val="007B5485"/>
    <w:rsid w:val="00890085"/>
    <w:rsid w:val="008B3DDF"/>
    <w:rsid w:val="008B6BBD"/>
    <w:rsid w:val="008B6CB2"/>
    <w:rsid w:val="009010A7"/>
    <w:rsid w:val="0091618F"/>
    <w:rsid w:val="00921806"/>
    <w:rsid w:val="00922BB6"/>
    <w:rsid w:val="0092585B"/>
    <w:rsid w:val="0093548E"/>
    <w:rsid w:val="00992A9C"/>
    <w:rsid w:val="009B37E7"/>
    <w:rsid w:val="009F0EC2"/>
    <w:rsid w:val="00A03904"/>
    <w:rsid w:val="00A34016"/>
    <w:rsid w:val="00A71771"/>
    <w:rsid w:val="00A90B4B"/>
    <w:rsid w:val="00A93E41"/>
    <w:rsid w:val="00AC6822"/>
    <w:rsid w:val="00B72F88"/>
    <w:rsid w:val="00B948A1"/>
    <w:rsid w:val="00BA7B3F"/>
    <w:rsid w:val="00BC2F49"/>
    <w:rsid w:val="00BE46C7"/>
    <w:rsid w:val="00C112C9"/>
    <w:rsid w:val="00C257F2"/>
    <w:rsid w:val="00C30480"/>
    <w:rsid w:val="00C51153"/>
    <w:rsid w:val="00C51317"/>
    <w:rsid w:val="00C57173"/>
    <w:rsid w:val="00C93485"/>
    <w:rsid w:val="00CF0E92"/>
    <w:rsid w:val="00CF54B7"/>
    <w:rsid w:val="00D53D33"/>
    <w:rsid w:val="00D6234F"/>
    <w:rsid w:val="00D77C81"/>
    <w:rsid w:val="00D8632A"/>
    <w:rsid w:val="00DE3E5E"/>
    <w:rsid w:val="00E5117E"/>
    <w:rsid w:val="00E71BCB"/>
    <w:rsid w:val="00E97FA2"/>
    <w:rsid w:val="00EF3CBF"/>
    <w:rsid w:val="00F40947"/>
    <w:rsid w:val="00F7136D"/>
    <w:rsid w:val="00FB6544"/>
    <w:rsid w:val="00FB6B40"/>
    <w:rsid w:val="00FF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337CF"/>
  <w14:defaultImageDpi w14:val="32767"/>
  <w15:chartTrackingRefBased/>
  <w15:docId w15:val="{ECA1A4AC-CA0C-BD44-A04E-2698816C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E5E"/>
    <w:rPr>
      <w:rFonts w:ascii="Times New Roman" w:eastAsia="Times New Roman" w:hAnsi="Times New Roman" w:cs="Times New Roman"/>
    </w:rPr>
  </w:style>
  <w:style w:type="paragraph" w:styleId="Heading1">
    <w:name w:val="heading 1"/>
    <w:basedOn w:val="Normal"/>
    <w:link w:val="Heading1Char"/>
    <w:uiPriority w:val="9"/>
    <w:qFormat/>
    <w:rsid w:val="00FB65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44"/>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FB654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B6544"/>
    <w:rPr>
      <w:sz w:val="20"/>
      <w:szCs w:val="20"/>
    </w:rPr>
  </w:style>
  <w:style w:type="character" w:styleId="EndnoteReference">
    <w:name w:val="endnote reference"/>
    <w:basedOn w:val="DefaultParagraphFont"/>
    <w:uiPriority w:val="99"/>
    <w:semiHidden/>
    <w:unhideWhenUsed/>
    <w:rsid w:val="00FB6544"/>
    <w:rPr>
      <w:vertAlign w:val="superscript"/>
    </w:rPr>
  </w:style>
  <w:style w:type="character" w:styleId="Hyperlink">
    <w:name w:val="Hyperlink"/>
    <w:basedOn w:val="DefaultParagraphFont"/>
    <w:uiPriority w:val="99"/>
    <w:unhideWhenUsed/>
    <w:rsid w:val="00797330"/>
    <w:rPr>
      <w:color w:val="0563C1" w:themeColor="hyperlink"/>
      <w:u w:val="single"/>
    </w:rPr>
  </w:style>
  <w:style w:type="character" w:styleId="UnresolvedMention">
    <w:name w:val="Unresolved Mention"/>
    <w:basedOn w:val="DefaultParagraphFont"/>
    <w:uiPriority w:val="99"/>
    <w:rsid w:val="00797330"/>
    <w:rPr>
      <w:color w:val="605E5C"/>
      <w:shd w:val="clear" w:color="auto" w:fill="E1DFDD"/>
    </w:rPr>
  </w:style>
  <w:style w:type="paragraph" w:styleId="ListParagraph">
    <w:name w:val="List Paragraph"/>
    <w:basedOn w:val="Normal"/>
    <w:uiPriority w:val="34"/>
    <w:qFormat/>
    <w:rsid w:val="003F2A08"/>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14158D"/>
    <w:rPr>
      <w:color w:val="954F72" w:themeColor="followedHyperlink"/>
      <w:u w:val="single"/>
    </w:rPr>
  </w:style>
  <w:style w:type="paragraph" w:styleId="BalloonText">
    <w:name w:val="Balloon Text"/>
    <w:basedOn w:val="Normal"/>
    <w:link w:val="BalloonTextChar"/>
    <w:uiPriority w:val="99"/>
    <w:semiHidden/>
    <w:unhideWhenUsed/>
    <w:rsid w:val="00D8632A"/>
    <w:rPr>
      <w:sz w:val="18"/>
      <w:szCs w:val="18"/>
    </w:rPr>
  </w:style>
  <w:style w:type="character" w:customStyle="1" w:styleId="BalloonTextChar">
    <w:name w:val="Balloon Text Char"/>
    <w:basedOn w:val="DefaultParagraphFont"/>
    <w:link w:val="BalloonText"/>
    <w:uiPriority w:val="99"/>
    <w:semiHidden/>
    <w:rsid w:val="00D8632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66022">
      <w:bodyDiv w:val="1"/>
      <w:marLeft w:val="0"/>
      <w:marRight w:val="0"/>
      <w:marTop w:val="0"/>
      <w:marBottom w:val="0"/>
      <w:divBdr>
        <w:top w:val="none" w:sz="0" w:space="0" w:color="auto"/>
        <w:left w:val="none" w:sz="0" w:space="0" w:color="auto"/>
        <w:bottom w:val="none" w:sz="0" w:space="0" w:color="auto"/>
        <w:right w:val="none" w:sz="0" w:space="0" w:color="auto"/>
      </w:divBdr>
    </w:div>
    <w:div w:id="379288489">
      <w:bodyDiv w:val="1"/>
      <w:marLeft w:val="0"/>
      <w:marRight w:val="0"/>
      <w:marTop w:val="0"/>
      <w:marBottom w:val="0"/>
      <w:divBdr>
        <w:top w:val="none" w:sz="0" w:space="0" w:color="auto"/>
        <w:left w:val="none" w:sz="0" w:space="0" w:color="auto"/>
        <w:bottom w:val="none" w:sz="0" w:space="0" w:color="auto"/>
        <w:right w:val="none" w:sz="0" w:space="0" w:color="auto"/>
      </w:divBdr>
    </w:div>
    <w:div w:id="534002518">
      <w:bodyDiv w:val="1"/>
      <w:marLeft w:val="0"/>
      <w:marRight w:val="0"/>
      <w:marTop w:val="0"/>
      <w:marBottom w:val="0"/>
      <w:divBdr>
        <w:top w:val="none" w:sz="0" w:space="0" w:color="auto"/>
        <w:left w:val="none" w:sz="0" w:space="0" w:color="auto"/>
        <w:bottom w:val="none" w:sz="0" w:space="0" w:color="auto"/>
        <w:right w:val="none" w:sz="0" w:space="0" w:color="auto"/>
      </w:divBdr>
    </w:div>
    <w:div w:id="1139542338">
      <w:bodyDiv w:val="1"/>
      <w:marLeft w:val="0"/>
      <w:marRight w:val="0"/>
      <w:marTop w:val="0"/>
      <w:marBottom w:val="0"/>
      <w:divBdr>
        <w:top w:val="none" w:sz="0" w:space="0" w:color="auto"/>
        <w:left w:val="none" w:sz="0" w:space="0" w:color="auto"/>
        <w:bottom w:val="none" w:sz="0" w:space="0" w:color="auto"/>
        <w:right w:val="none" w:sz="0" w:space="0" w:color="auto"/>
      </w:divBdr>
    </w:div>
    <w:div w:id="15048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datacite.org/works?query=(subjects.subjectScheme:inchikey+AND+subjects.subject:KTOSDSJYNBIDCN-UHFFFAOYSA-N)+AND+(subjects.subjectScheme:Gibbs_Energy+AND+subjects.subject:%22-1082.980914%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elastic.co/guide/en/elasticsearch/reference/current/query-dsl-nested-que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datacite.org/works?query=(subjects.subjectScheme:inchikey+AND+subjects.subject:%22-1082.980914%22)+AND+(subjects.subjectScheme:Gibbs_Energy+AND+subjects.subject:KTOSDSJYNBIDCN-UHFFFAOYSA-N)" TargetMode="External"/><Relationship Id="rId5" Type="http://schemas.openxmlformats.org/officeDocument/2006/relationships/footnotes" Target="footnotes.xml"/><Relationship Id="rId10" Type="http://schemas.openxmlformats.org/officeDocument/2006/relationships/hyperlink" Target="https://doi.org/https:/doi.org/10.1351/goldbook.C01036" TargetMode="External"/><Relationship Id="rId4" Type="http://schemas.openxmlformats.org/officeDocument/2006/relationships/webSettings" Target="webSettings.xml"/><Relationship Id="rId9" Type="http://schemas.openxmlformats.org/officeDocument/2006/relationships/hyperlink" Target="https://doi.org/10.14469/hpc/4739"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doi.org/10.1021/acsomega.8b03005" TargetMode="External"/><Relationship Id="rId1" Type="http://schemas.openxmlformats.org/officeDocument/2006/relationships/hyperlink" Target="https://schema.datacite.org/meta/kernel-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Rzepa</dc:creator>
  <cp:keywords/>
  <dc:description/>
  <cp:lastModifiedBy>Henry Rzepa</cp:lastModifiedBy>
  <cp:revision>11</cp:revision>
  <cp:lastPrinted>2018-10-17T08:08:00Z</cp:lastPrinted>
  <dcterms:created xsi:type="dcterms:W3CDTF">2018-10-17T08:08:00Z</dcterms:created>
  <dcterms:modified xsi:type="dcterms:W3CDTF">2019-01-25T16:22:00Z</dcterms:modified>
</cp:coreProperties>
</file>